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40E02" w14:textId="56123497" w:rsidR="007560A9" w:rsidRPr="005E6657" w:rsidRDefault="00022A78" w:rsidP="00157D47">
      <w:pPr>
        <w:rPr>
          <w:sz w:val="22"/>
          <w:szCs w:val="22"/>
        </w:rPr>
      </w:pPr>
      <w:r w:rsidRPr="005E6657">
        <w:rPr>
          <w:b/>
          <w:bCs/>
          <w:noProof/>
          <w:sz w:val="22"/>
          <w:szCs w:val="22"/>
        </w:rPr>
        <w:drawing>
          <wp:anchor distT="0" distB="0" distL="114300" distR="114300" simplePos="0" relativeHeight="251664384" behindDoc="0" locked="0" layoutInCell="1" allowOverlap="1" wp14:anchorId="260FEBF3" wp14:editId="0CC9F959">
            <wp:simplePos x="0" y="0"/>
            <wp:positionH relativeFrom="column">
              <wp:posOffset>2053244</wp:posOffset>
            </wp:positionH>
            <wp:positionV relativeFrom="paragraph">
              <wp:posOffset>78856</wp:posOffset>
            </wp:positionV>
            <wp:extent cx="1662430" cy="469265"/>
            <wp:effectExtent l="0" t="0" r="1270" b="635"/>
            <wp:wrapThrough wrapText="bothSides">
              <wp:wrapPolygon edited="0">
                <wp:start x="0" y="0"/>
                <wp:lineTo x="0" y="21045"/>
                <wp:lineTo x="21451" y="21045"/>
                <wp:lineTo x="21451" y="0"/>
                <wp:lineTo x="0" y="0"/>
              </wp:wrapPolygon>
            </wp:wrapThrough>
            <wp:docPr id="20688543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854363" name="Picture 2068854363"/>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62430" cy="469265"/>
                    </a:xfrm>
                    <a:prstGeom prst="rect">
                      <a:avLst/>
                    </a:prstGeom>
                  </pic:spPr>
                </pic:pic>
              </a:graphicData>
            </a:graphic>
            <wp14:sizeRelH relativeFrom="page">
              <wp14:pctWidth>0</wp14:pctWidth>
            </wp14:sizeRelH>
            <wp14:sizeRelV relativeFrom="page">
              <wp14:pctHeight>0</wp14:pctHeight>
            </wp14:sizeRelV>
          </wp:anchor>
        </w:drawing>
      </w:r>
    </w:p>
    <w:p w14:paraId="217A66F3" w14:textId="173D1989" w:rsidR="00022A78" w:rsidRPr="005E6657" w:rsidRDefault="00022A78">
      <w:pPr>
        <w:jc w:val="center"/>
        <w:rPr>
          <w:b/>
          <w:sz w:val="22"/>
          <w:szCs w:val="22"/>
        </w:rPr>
      </w:pPr>
    </w:p>
    <w:p w14:paraId="1BF278FA" w14:textId="13786511" w:rsidR="00022A78" w:rsidRPr="005E6657" w:rsidRDefault="00022A78" w:rsidP="00022A78">
      <w:pPr>
        <w:jc w:val="center"/>
        <w:rPr>
          <w:b/>
          <w:sz w:val="22"/>
          <w:szCs w:val="22"/>
        </w:rPr>
      </w:pPr>
      <w:r w:rsidRPr="005E6657">
        <w:rPr>
          <w:noProof/>
          <w:sz w:val="22"/>
          <w:szCs w:val="22"/>
          <w:lang w:val="en-US"/>
        </w:rPr>
        <mc:AlternateContent>
          <mc:Choice Requires="wps">
            <w:drawing>
              <wp:anchor distT="0" distB="0" distL="114300" distR="114300" simplePos="0" relativeHeight="251658240" behindDoc="0" locked="0" layoutInCell="1" hidden="0" allowOverlap="1" wp14:anchorId="529B5E8E" wp14:editId="5F5B56D7">
                <wp:simplePos x="0" y="0"/>
                <wp:positionH relativeFrom="margin">
                  <wp:posOffset>63500</wp:posOffset>
                </wp:positionH>
                <wp:positionV relativeFrom="paragraph">
                  <wp:posOffset>99752</wp:posOffset>
                </wp:positionV>
                <wp:extent cx="5943600" cy="22225"/>
                <wp:effectExtent l="0" t="0" r="0" b="0"/>
                <wp:wrapNone/>
                <wp:docPr id="3" name="Straight Arrow Connector 3"/>
                <wp:cNvGraphicFramePr/>
                <a:graphic xmlns:a="http://schemas.openxmlformats.org/drawingml/2006/main">
                  <a:graphicData uri="http://schemas.microsoft.com/office/word/2010/wordprocessingShape">
                    <wps:wsp>
                      <wps:cNvCnPr/>
                      <wps:spPr>
                        <a:xfrm>
                          <a:off x="0" y="0"/>
                          <a:ext cx="5943600" cy="2222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xmlns:w16sdtfl="http://schemas.microsoft.com/office/word/2024/wordml/sdtformatlock">
            <w:pict>
              <v:shapetype w14:anchorId="07064F0E" id="_x0000_t32" coordsize="21600,21600" o:spt="32" o:oned="t" path="m,l21600,21600e" filled="f">
                <v:path arrowok="t" fillok="f" o:connecttype="none"/>
                <o:lock v:ext="edit" shapetype="t"/>
              </v:shapetype>
              <v:shape id="Straight Arrow Connector 3" o:spid="_x0000_s1026" type="#_x0000_t32" style="position:absolute;margin-left:5pt;margin-top:7.85pt;width:468pt;height:1.75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" filled="t" strokecolor="#d4d4d4" strokeweight="1.75pt">
                <v:stroke joinstyle="miter"/>
                <w10:wrap anchorx="margin"/>
              </v:shape>
            </w:pict>
          </mc:Fallback>
        </mc:AlternateContent>
      </w:r>
    </w:p>
    <w:p w14:paraId="6E6562A9" w14:textId="77777777" w:rsidR="00022A78" w:rsidRPr="005E6657" w:rsidRDefault="00022A78">
      <w:pPr>
        <w:jc w:val="center"/>
        <w:rPr>
          <w:b/>
          <w:sz w:val="22"/>
          <w:szCs w:val="22"/>
        </w:rPr>
      </w:pPr>
    </w:p>
    <w:p w14:paraId="3D2A20FE" w14:textId="486C1C34" w:rsidR="007560A9" w:rsidRPr="005E6657" w:rsidRDefault="00165899">
      <w:pPr>
        <w:jc w:val="center"/>
        <w:rPr>
          <w:sz w:val="22"/>
          <w:szCs w:val="22"/>
        </w:rPr>
      </w:pPr>
      <w:r>
        <w:rPr>
          <w:b/>
          <w:sz w:val="22"/>
          <w:szCs w:val="22"/>
        </w:rPr>
        <w:t>SUPPLY</w:t>
      </w:r>
      <w:r w:rsidR="00844BF7" w:rsidRPr="005E6657">
        <w:rPr>
          <w:b/>
          <w:sz w:val="22"/>
          <w:szCs w:val="22"/>
        </w:rPr>
        <w:t xml:space="preserve"> CONTRACT NOTICE</w:t>
      </w:r>
    </w:p>
    <w:p w14:paraId="144087F1" w14:textId="5B77CD03" w:rsidR="007560A9" w:rsidRPr="005E6657" w:rsidRDefault="00165899" w:rsidP="001112E9">
      <w:pPr>
        <w:jc w:val="center"/>
        <w:rPr>
          <w:b/>
          <w:bCs/>
          <w:sz w:val="22"/>
          <w:szCs w:val="22"/>
          <w:lang w:val="sr-Latn-ME"/>
        </w:rPr>
      </w:pPr>
      <w:r>
        <w:rPr>
          <w:b/>
          <w:sz w:val="22"/>
          <w:szCs w:val="22"/>
          <w:lang w:val="en-US"/>
        </w:rPr>
        <w:t>Supply and installation</w:t>
      </w:r>
      <w:r w:rsidR="005E6657" w:rsidRPr="005E6657">
        <w:rPr>
          <w:b/>
          <w:sz w:val="22"/>
          <w:szCs w:val="22"/>
          <w:lang w:val="en-US"/>
        </w:rPr>
        <w:t xml:space="preserve"> of a Fire Hydrant Network with a Booster Pump Station for the Enclosed Zones of the “Đurmani” Reservoir and Break Pressure Chambers “Perazića Do” and “Sveti Stefan</w:t>
      </w:r>
      <w:r w:rsidR="005E6657" w:rsidRPr="005E6657">
        <w:rPr>
          <w:b/>
          <w:sz w:val="22"/>
          <w:szCs w:val="22"/>
          <w:lang w:val="sr-Latn-ME"/>
        </w:rPr>
        <w:t>“</w:t>
      </w:r>
    </w:p>
    <w:p w14:paraId="012167D1" w14:textId="7EB12771" w:rsidR="007560A9" w:rsidRPr="005E6657" w:rsidRDefault="00844BF7" w:rsidP="005E6657">
      <w:pPr>
        <w:spacing w:after="240"/>
        <w:jc w:val="center"/>
        <w:rPr>
          <w:b/>
          <w:sz w:val="22"/>
          <w:szCs w:val="22"/>
        </w:rPr>
      </w:pPr>
      <w:r w:rsidRPr="005164A9">
        <w:rPr>
          <w:sz w:val="22"/>
          <w:szCs w:val="22"/>
        </w:rPr>
        <w:t>&lt;</w:t>
      </w:r>
      <w:r w:rsidRPr="005164A9">
        <w:rPr>
          <w:b/>
          <w:sz w:val="22"/>
          <w:szCs w:val="22"/>
        </w:rPr>
        <w:t>Ref. number</w:t>
      </w:r>
      <w:r w:rsidR="005164A9" w:rsidRPr="005164A9">
        <w:rPr>
          <w:b/>
          <w:sz w:val="22"/>
          <w:szCs w:val="22"/>
        </w:rPr>
        <w:t>:25-5704/1</w:t>
      </w:r>
      <w:r w:rsidRPr="005164A9">
        <w:rPr>
          <w:b/>
          <w:sz w:val="22"/>
          <w:szCs w:val="22"/>
        </w:rPr>
        <w:t>&gt;</w:t>
      </w:r>
    </w:p>
    <w:p w14:paraId="79988048" w14:textId="0D4CB399" w:rsidR="007560A9" w:rsidRPr="005E6657" w:rsidRDefault="00844BF7">
      <w:pPr>
        <w:jc w:val="center"/>
        <w:rPr>
          <w:sz w:val="22"/>
          <w:szCs w:val="22"/>
        </w:rPr>
      </w:pPr>
      <w:r w:rsidRPr="005E6657">
        <w:rPr>
          <w:b/>
          <w:sz w:val="22"/>
          <w:szCs w:val="22"/>
        </w:rPr>
        <w:t>&lt;</w:t>
      </w:r>
      <w:r w:rsidR="00371F95" w:rsidRPr="005E6657">
        <w:rPr>
          <w:b/>
          <w:sz w:val="22"/>
          <w:szCs w:val="22"/>
        </w:rPr>
        <w:t>Montenegro</w:t>
      </w:r>
      <w:r w:rsidRPr="005E6657">
        <w:rPr>
          <w:sz w:val="22"/>
          <w:szCs w:val="22"/>
        </w:rPr>
        <w:t>&gt;</w:t>
      </w:r>
    </w:p>
    <w:p w14:paraId="6A7E55AC" w14:textId="77777777" w:rsidR="007560A9" w:rsidRPr="005E6657" w:rsidRDefault="007560A9">
      <w:pPr>
        <w:ind w:left="709" w:hanging="349"/>
        <w:rPr>
          <w:b/>
          <w:sz w:val="22"/>
          <w:szCs w:val="22"/>
          <w:highlight w:val="yellow"/>
        </w:rPr>
      </w:pPr>
    </w:p>
    <w:p w14:paraId="0BA9951C" w14:textId="41D13ED5" w:rsidR="007560A9" w:rsidRPr="005E6657" w:rsidRDefault="007560A9">
      <w:pPr>
        <w:ind w:left="709" w:hanging="349"/>
        <w:rPr>
          <w:b/>
          <w:sz w:val="22"/>
          <w:szCs w:val="22"/>
        </w:rPr>
      </w:pPr>
    </w:p>
    <w:p w14:paraId="03C9FCB0" w14:textId="1364393D" w:rsidR="007560A9" w:rsidRPr="005E6657" w:rsidRDefault="007560A9">
      <w:pPr>
        <w:ind w:left="709" w:hanging="349"/>
        <w:rPr>
          <w:sz w:val="22"/>
          <w:szCs w:val="22"/>
        </w:rPr>
      </w:pPr>
    </w:p>
    <w:p w14:paraId="76EF912D" w14:textId="5BAF56DB" w:rsidR="007560A9" w:rsidRPr="005E6657" w:rsidRDefault="007560A9" w:rsidP="004C39D9">
      <w:pPr>
        <w:jc w:val="both"/>
        <w:rPr>
          <w:sz w:val="22"/>
          <w:szCs w:val="22"/>
        </w:rPr>
      </w:pPr>
    </w:p>
    <w:p w14:paraId="5FA14FC0" w14:textId="77777777" w:rsidR="007560A9" w:rsidRPr="005E6657" w:rsidRDefault="00844BF7">
      <w:pPr>
        <w:numPr>
          <w:ilvl w:val="0"/>
          <w:numId w:val="3"/>
        </w:numPr>
        <w:pBdr>
          <w:top w:val="nil"/>
          <w:left w:val="nil"/>
          <w:bottom w:val="nil"/>
          <w:right w:val="nil"/>
          <w:between w:val="nil"/>
        </w:pBdr>
        <w:rPr>
          <w:color w:val="000000"/>
          <w:sz w:val="22"/>
          <w:szCs w:val="22"/>
        </w:rPr>
      </w:pPr>
      <w:r w:rsidRPr="005E6657">
        <w:rPr>
          <w:b/>
          <w:color w:val="000000"/>
          <w:sz w:val="22"/>
          <w:szCs w:val="22"/>
        </w:rPr>
        <w:t>Publication reference</w:t>
      </w:r>
    </w:p>
    <w:p w14:paraId="4A7D61E0" w14:textId="7B2BAA09" w:rsidR="007560A9" w:rsidRPr="005E6657" w:rsidRDefault="00844BF7" w:rsidP="002C0AC4">
      <w:pPr>
        <w:ind w:firstLine="709"/>
        <w:rPr>
          <w:sz w:val="22"/>
          <w:szCs w:val="22"/>
        </w:rPr>
      </w:pPr>
      <w:r w:rsidRPr="005E6657">
        <w:rPr>
          <w:sz w:val="22"/>
          <w:szCs w:val="22"/>
        </w:rPr>
        <w:t>&lt;</w:t>
      </w:r>
      <w:r w:rsidR="009F288C" w:rsidRPr="005164A9">
        <w:rPr>
          <w:b/>
          <w:sz w:val="22"/>
          <w:szCs w:val="22"/>
        </w:rPr>
        <w:t>25-5704/1</w:t>
      </w:r>
      <w:r w:rsidRPr="005E6657">
        <w:rPr>
          <w:sz w:val="22"/>
          <w:szCs w:val="22"/>
        </w:rPr>
        <w:t xml:space="preserve">&gt; </w:t>
      </w:r>
    </w:p>
    <w:p w14:paraId="4720A225" w14:textId="19AE8388" w:rsidR="007560A9" w:rsidRPr="005E6657" w:rsidRDefault="007560A9">
      <w:pPr>
        <w:ind w:left="709"/>
        <w:rPr>
          <w:sz w:val="22"/>
          <w:szCs w:val="22"/>
        </w:rPr>
      </w:pPr>
    </w:p>
    <w:p w14:paraId="49F94221" w14:textId="77777777" w:rsidR="007560A9" w:rsidRPr="005E6657" w:rsidRDefault="00844BF7">
      <w:pPr>
        <w:numPr>
          <w:ilvl w:val="0"/>
          <w:numId w:val="3"/>
        </w:numPr>
        <w:pBdr>
          <w:top w:val="nil"/>
          <w:left w:val="nil"/>
          <w:bottom w:val="nil"/>
          <w:right w:val="nil"/>
          <w:between w:val="nil"/>
        </w:pBdr>
        <w:rPr>
          <w:color w:val="000000"/>
          <w:sz w:val="22"/>
          <w:szCs w:val="22"/>
        </w:rPr>
      </w:pPr>
      <w:r w:rsidRPr="005E6657">
        <w:rPr>
          <w:b/>
          <w:color w:val="000000"/>
          <w:sz w:val="22"/>
          <w:szCs w:val="22"/>
        </w:rPr>
        <w:t>Procedure</w:t>
      </w:r>
    </w:p>
    <w:p w14:paraId="7A6AB9E9" w14:textId="21F97F22" w:rsidR="007560A9" w:rsidRPr="005E6657" w:rsidRDefault="002E349E">
      <w:pPr>
        <w:pBdr>
          <w:top w:val="nil"/>
          <w:left w:val="nil"/>
          <w:bottom w:val="nil"/>
          <w:right w:val="nil"/>
          <w:between w:val="nil"/>
        </w:pBdr>
        <w:ind w:left="709"/>
        <w:rPr>
          <w:color w:val="000000"/>
          <w:sz w:val="22"/>
          <w:szCs w:val="22"/>
        </w:rPr>
      </w:pPr>
      <w:r>
        <w:rPr>
          <w:color w:val="000000"/>
          <w:sz w:val="22"/>
          <w:szCs w:val="22"/>
        </w:rPr>
        <w:t>Local open tender</w:t>
      </w:r>
    </w:p>
    <w:p w14:paraId="6B6B1C3F" w14:textId="77777777" w:rsidR="004C39D9" w:rsidRPr="005E6657" w:rsidRDefault="004C39D9">
      <w:pPr>
        <w:pBdr>
          <w:top w:val="nil"/>
          <w:left w:val="nil"/>
          <w:bottom w:val="nil"/>
          <w:right w:val="nil"/>
          <w:between w:val="nil"/>
        </w:pBdr>
        <w:ind w:left="709"/>
        <w:rPr>
          <w:color w:val="000000"/>
          <w:sz w:val="22"/>
          <w:szCs w:val="22"/>
        </w:rPr>
      </w:pPr>
    </w:p>
    <w:p w14:paraId="07279FCA" w14:textId="77777777" w:rsidR="004C39D9" w:rsidRPr="005E6657" w:rsidRDefault="00844BF7" w:rsidP="004C39D9">
      <w:pPr>
        <w:numPr>
          <w:ilvl w:val="0"/>
          <w:numId w:val="3"/>
        </w:numPr>
        <w:pBdr>
          <w:top w:val="nil"/>
          <w:left w:val="nil"/>
          <w:bottom w:val="nil"/>
          <w:right w:val="nil"/>
          <w:between w:val="nil"/>
        </w:pBdr>
        <w:rPr>
          <w:color w:val="000000"/>
          <w:sz w:val="22"/>
          <w:szCs w:val="22"/>
        </w:rPr>
      </w:pPr>
      <w:r w:rsidRPr="005E6657">
        <w:rPr>
          <w:b/>
          <w:color w:val="000000"/>
          <w:sz w:val="22"/>
          <w:szCs w:val="22"/>
        </w:rPr>
        <w:t>Programme title</w:t>
      </w:r>
    </w:p>
    <w:p w14:paraId="4FD2DF51" w14:textId="77777777" w:rsidR="00371F95" w:rsidRPr="005E6657" w:rsidRDefault="00371F95" w:rsidP="00371F95">
      <w:pPr>
        <w:spacing w:before="177"/>
        <w:ind w:firstLine="720"/>
        <w:rPr>
          <w:sz w:val="22"/>
          <w:szCs w:val="22"/>
        </w:rPr>
      </w:pPr>
      <w:r w:rsidRPr="005E6657">
        <w:rPr>
          <w:spacing w:val="-6"/>
          <w:sz w:val="22"/>
          <w:szCs w:val="22"/>
        </w:rPr>
        <w:t>INTERREG</w:t>
      </w:r>
      <w:r w:rsidRPr="005E6657">
        <w:rPr>
          <w:spacing w:val="8"/>
          <w:sz w:val="22"/>
          <w:szCs w:val="22"/>
        </w:rPr>
        <w:t xml:space="preserve"> </w:t>
      </w:r>
      <w:r w:rsidRPr="005E6657">
        <w:rPr>
          <w:spacing w:val="-6"/>
          <w:sz w:val="22"/>
          <w:szCs w:val="22"/>
        </w:rPr>
        <w:t>IPA</w:t>
      </w:r>
      <w:r w:rsidRPr="005E6657">
        <w:rPr>
          <w:spacing w:val="-4"/>
          <w:sz w:val="22"/>
          <w:szCs w:val="22"/>
        </w:rPr>
        <w:t xml:space="preserve"> </w:t>
      </w:r>
      <w:r w:rsidRPr="005E6657">
        <w:rPr>
          <w:spacing w:val="-6"/>
          <w:sz w:val="22"/>
          <w:szCs w:val="22"/>
        </w:rPr>
        <w:t>South</w:t>
      </w:r>
      <w:r w:rsidRPr="005E6657">
        <w:rPr>
          <w:spacing w:val="-4"/>
          <w:sz w:val="22"/>
          <w:szCs w:val="22"/>
        </w:rPr>
        <w:t xml:space="preserve"> </w:t>
      </w:r>
      <w:r w:rsidRPr="005E6657">
        <w:rPr>
          <w:spacing w:val="-6"/>
          <w:sz w:val="22"/>
          <w:szCs w:val="22"/>
        </w:rPr>
        <w:t>Adriatic</w:t>
      </w:r>
      <w:r w:rsidRPr="005E6657">
        <w:rPr>
          <w:spacing w:val="-2"/>
          <w:sz w:val="22"/>
          <w:szCs w:val="22"/>
        </w:rPr>
        <w:t xml:space="preserve"> </w:t>
      </w:r>
      <w:r w:rsidRPr="005E6657">
        <w:rPr>
          <w:spacing w:val="-6"/>
          <w:sz w:val="22"/>
          <w:szCs w:val="22"/>
        </w:rPr>
        <w:t>programme,</w:t>
      </w:r>
      <w:r w:rsidRPr="005E6657">
        <w:rPr>
          <w:spacing w:val="5"/>
          <w:sz w:val="22"/>
          <w:szCs w:val="22"/>
        </w:rPr>
        <w:t xml:space="preserve"> </w:t>
      </w:r>
      <w:r w:rsidRPr="005E6657">
        <w:rPr>
          <w:spacing w:val="-6"/>
          <w:sz w:val="22"/>
          <w:szCs w:val="22"/>
        </w:rPr>
        <w:t>2021-2027</w:t>
      </w:r>
    </w:p>
    <w:p w14:paraId="5BFBA2DE" w14:textId="591C124C" w:rsidR="007560A9" w:rsidRPr="005E6657" w:rsidRDefault="004C39D9" w:rsidP="002C0AC4">
      <w:pPr>
        <w:ind w:left="644"/>
        <w:rPr>
          <w:sz w:val="22"/>
          <w:szCs w:val="22"/>
        </w:rPr>
      </w:pPr>
      <w:r w:rsidRPr="005E6657">
        <w:rPr>
          <w:sz w:val="22"/>
          <w:szCs w:val="22"/>
        </w:rPr>
        <w:t xml:space="preserve"> </w:t>
      </w:r>
    </w:p>
    <w:p w14:paraId="5FA3F63D" w14:textId="77777777" w:rsidR="007560A9" w:rsidRPr="005E6657" w:rsidRDefault="00844BF7">
      <w:pPr>
        <w:numPr>
          <w:ilvl w:val="0"/>
          <w:numId w:val="3"/>
        </w:numPr>
        <w:pBdr>
          <w:top w:val="nil"/>
          <w:left w:val="nil"/>
          <w:bottom w:val="nil"/>
          <w:right w:val="nil"/>
          <w:between w:val="nil"/>
        </w:pBdr>
        <w:rPr>
          <w:color w:val="000000"/>
          <w:sz w:val="22"/>
          <w:szCs w:val="22"/>
        </w:rPr>
      </w:pPr>
      <w:r w:rsidRPr="005E6657">
        <w:rPr>
          <w:b/>
          <w:color w:val="000000"/>
          <w:sz w:val="22"/>
          <w:szCs w:val="22"/>
        </w:rPr>
        <w:t>Financing</w:t>
      </w:r>
    </w:p>
    <w:p w14:paraId="748488C6" w14:textId="04E00DE9" w:rsidR="00371F95" w:rsidRPr="005E6657" w:rsidRDefault="00371F95" w:rsidP="005B5210">
      <w:pPr>
        <w:spacing w:before="186" w:line="235" w:lineRule="auto"/>
        <w:ind w:left="720"/>
        <w:jc w:val="both"/>
        <w:rPr>
          <w:spacing w:val="-2"/>
          <w:sz w:val="22"/>
          <w:szCs w:val="22"/>
        </w:rPr>
      </w:pPr>
      <w:r w:rsidRPr="005E6657">
        <w:rPr>
          <w:color w:val="161616"/>
          <w:sz w:val="22"/>
          <w:szCs w:val="22"/>
        </w:rPr>
        <w:t>The</w:t>
      </w:r>
      <w:r w:rsidRPr="005E6657">
        <w:rPr>
          <w:color w:val="161616"/>
          <w:spacing w:val="40"/>
          <w:sz w:val="22"/>
          <w:szCs w:val="22"/>
        </w:rPr>
        <w:t xml:space="preserve"> </w:t>
      </w:r>
      <w:r w:rsidRPr="005E6657">
        <w:rPr>
          <w:sz w:val="22"/>
          <w:szCs w:val="22"/>
        </w:rPr>
        <w:t>project</w:t>
      </w:r>
      <w:r w:rsidRPr="005E6657">
        <w:rPr>
          <w:spacing w:val="66"/>
          <w:sz w:val="22"/>
          <w:szCs w:val="22"/>
        </w:rPr>
        <w:t xml:space="preserve"> </w:t>
      </w:r>
      <w:r w:rsidRPr="005E6657">
        <w:rPr>
          <w:color w:val="131313"/>
          <w:sz w:val="22"/>
          <w:szCs w:val="22"/>
        </w:rPr>
        <w:t>is</w:t>
      </w:r>
      <w:r w:rsidRPr="005E6657">
        <w:rPr>
          <w:color w:val="131313"/>
          <w:spacing w:val="40"/>
          <w:sz w:val="22"/>
          <w:szCs w:val="22"/>
        </w:rPr>
        <w:t xml:space="preserve"> </w:t>
      </w:r>
      <w:r w:rsidRPr="005E6657">
        <w:rPr>
          <w:sz w:val="22"/>
          <w:szCs w:val="22"/>
        </w:rPr>
        <w:t>co-financed</w:t>
      </w:r>
      <w:r w:rsidRPr="005E6657">
        <w:rPr>
          <w:spacing w:val="67"/>
          <w:sz w:val="22"/>
          <w:szCs w:val="22"/>
        </w:rPr>
        <w:t xml:space="preserve"> </w:t>
      </w:r>
      <w:r w:rsidRPr="005E6657">
        <w:rPr>
          <w:sz w:val="22"/>
          <w:szCs w:val="22"/>
        </w:rPr>
        <w:t>by</w:t>
      </w:r>
      <w:r w:rsidRPr="005E6657">
        <w:rPr>
          <w:spacing w:val="40"/>
          <w:sz w:val="22"/>
          <w:szCs w:val="22"/>
        </w:rPr>
        <w:t xml:space="preserve"> </w:t>
      </w:r>
      <w:r w:rsidRPr="005E6657">
        <w:rPr>
          <w:color w:val="0F0F0F"/>
          <w:sz w:val="22"/>
          <w:szCs w:val="22"/>
        </w:rPr>
        <w:t>the</w:t>
      </w:r>
      <w:r w:rsidRPr="005E6657">
        <w:rPr>
          <w:color w:val="0F0F0F"/>
          <w:spacing w:val="40"/>
          <w:sz w:val="22"/>
          <w:szCs w:val="22"/>
        </w:rPr>
        <w:t xml:space="preserve"> </w:t>
      </w:r>
      <w:r w:rsidRPr="005E6657">
        <w:rPr>
          <w:sz w:val="22"/>
          <w:szCs w:val="22"/>
        </w:rPr>
        <w:t>European</w:t>
      </w:r>
      <w:r w:rsidRPr="005E6657">
        <w:rPr>
          <w:spacing w:val="40"/>
          <w:sz w:val="22"/>
          <w:szCs w:val="22"/>
        </w:rPr>
        <w:t xml:space="preserve"> </w:t>
      </w:r>
      <w:r w:rsidRPr="005E6657">
        <w:rPr>
          <w:sz w:val="22"/>
          <w:szCs w:val="22"/>
        </w:rPr>
        <w:t>Union,</w:t>
      </w:r>
      <w:r w:rsidRPr="005E6657">
        <w:rPr>
          <w:spacing w:val="40"/>
          <w:sz w:val="22"/>
          <w:szCs w:val="22"/>
        </w:rPr>
        <w:t xml:space="preserve"> </w:t>
      </w:r>
      <w:r w:rsidRPr="005E6657">
        <w:rPr>
          <w:sz w:val="22"/>
          <w:szCs w:val="22"/>
        </w:rPr>
        <w:t>in</w:t>
      </w:r>
      <w:r w:rsidRPr="005E6657">
        <w:rPr>
          <w:spacing w:val="40"/>
          <w:sz w:val="22"/>
          <w:szCs w:val="22"/>
        </w:rPr>
        <w:t xml:space="preserve"> </w:t>
      </w:r>
      <w:r w:rsidRPr="005E6657">
        <w:rPr>
          <w:sz w:val="22"/>
          <w:szCs w:val="22"/>
        </w:rPr>
        <w:t>accordance</w:t>
      </w:r>
      <w:r w:rsidRPr="005E6657">
        <w:rPr>
          <w:spacing w:val="64"/>
          <w:sz w:val="22"/>
          <w:szCs w:val="22"/>
        </w:rPr>
        <w:t xml:space="preserve"> </w:t>
      </w:r>
      <w:r w:rsidRPr="005E6657">
        <w:rPr>
          <w:sz w:val="22"/>
          <w:szCs w:val="22"/>
        </w:rPr>
        <w:t>with</w:t>
      </w:r>
      <w:r w:rsidRPr="005E6657">
        <w:rPr>
          <w:spacing w:val="40"/>
          <w:sz w:val="22"/>
          <w:szCs w:val="22"/>
        </w:rPr>
        <w:t xml:space="preserve"> </w:t>
      </w:r>
      <w:r w:rsidRPr="005E6657">
        <w:rPr>
          <w:color w:val="181818"/>
          <w:sz w:val="22"/>
          <w:szCs w:val="22"/>
        </w:rPr>
        <w:t>the</w:t>
      </w:r>
      <w:r w:rsidRPr="005E6657">
        <w:rPr>
          <w:color w:val="181818"/>
          <w:spacing w:val="40"/>
          <w:sz w:val="22"/>
          <w:szCs w:val="22"/>
        </w:rPr>
        <w:t xml:space="preserve"> </w:t>
      </w:r>
      <w:r w:rsidRPr="005E6657">
        <w:rPr>
          <w:sz w:val="22"/>
          <w:szCs w:val="22"/>
        </w:rPr>
        <w:t>rules</w:t>
      </w:r>
      <w:r w:rsidRPr="005E6657">
        <w:rPr>
          <w:spacing w:val="40"/>
          <w:sz w:val="22"/>
          <w:szCs w:val="22"/>
        </w:rPr>
        <w:t xml:space="preserve"> </w:t>
      </w:r>
      <w:r w:rsidRPr="005E6657">
        <w:rPr>
          <w:color w:val="131313"/>
          <w:sz w:val="22"/>
          <w:szCs w:val="22"/>
        </w:rPr>
        <w:t xml:space="preserve">of </w:t>
      </w:r>
      <w:r w:rsidRPr="005E6657">
        <w:rPr>
          <w:spacing w:val="-2"/>
          <w:sz w:val="22"/>
          <w:szCs w:val="22"/>
        </w:rPr>
        <w:t>INTERREG IPA</w:t>
      </w:r>
      <w:r w:rsidRPr="005E6657">
        <w:rPr>
          <w:spacing w:val="-9"/>
          <w:sz w:val="22"/>
          <w:szCs w:val="22"/>
        </w:rPr>
        <w:t xml:space="preserve"> </w:t>
      </w:r>
      <w:r w:rsidRPr="005E6657">
        <w:rPr>
          <w:spacing w:val="-2"/>
          <w:sz w:val="22"/>
          <w:szCs w:val="22"/>
        </w:rPr>
        <w:t>South</w:t>
      </w:r>
      <w:r w:rsidRPr="005E6657">
        <w:rPr>
          <w:spacing w:val="-10"/>
          <w:sz w:val="22"/>
          <w:szCs w:val="22"/>
        </w:rPr>
        <w:t xml:space="preserve"> </w:t>
      </w:r>
      <w:r w:rsidRPr="005E6657">
        <w:rPr>
          <w:spacing w:val="-2"/>
          <w:sz w:val="22"/>
          <w:szCs w:val="22"/>
        </w:rPr>
        <w:t>Adriatic</w:t>
      </w:r>
      <w:r w:rsidRPr="005E6657">
        <w:rPr>
          <w:spacing w:val="-4"/>
          <w:sz w:val="22"/>
          <w:szCs w:val="22"/>
        </w:rPr>
        <w:t xml:space="preserve"> </w:t>
      </w:r>
      <w:r w:rsidRPr="005E6657">
        <w:rPr>
          <w:spacing w:val="-2"/>
          <w:sz w:val="22"/>
          <w:szCs w:val="22"/>
        </w:rPr>
        <w:t>programme, 2021-2027.</w:t>
      </w:r>
    </w:p>
    <w:p w14:paraId="6609874C" w14:textId="50330F77" w:rsidR="007560A9" w:rsidRPr="005E6657" w:rsidRDefault="00371F95" w:rsidP="00F914C9">
      <w:pPr>
        <w:spacing w:before="186" w:line="235" w:lineRule="auto"/>
        <w:ind w:left="720"/>
        <w:jc w:val="both"/>
        <w:rPr>
          <w:sz w:val="22"/>
          <w:szCs w:val="22"/>
        </w:rPr>
      </w:pPr>
      <w:r w:rsidRPr="005E6657">
        <w:rPr>
          <w:color w:val="161616"/>
          <w:sz w:val="22"/>
          <w:szCs w:val="22"/>
        </w:rPr>
        <w:t xml:space="preserve">The budget line of </w:t>
      </w:r>
      <w:r w:rsidRPr="005E6657">
        <w:rPr>
          <w:sz w:val="22"/>
          <w:szCs w:val="22"/>
        </w:rPr>
        <w:t xml:space="preserve">the </w:t>
      </w:r>
      <w:r w:rsidR="0014659C" w:rsidRPr="005E6657">
        <w:rPr>
          <w:sz w:val="22"/>
          <w:szCs w:val="22"/>
        </w:rPr>
        <w:t>partner: Regional Waterworks for Montenegr</w:t>
      </w:r>
      <w:r w:rsidR="002E349E">
        <w:rPr>
          <w:sz w:val="22"/>
          <w:szCs w:val="22"/>
        </w:rPr>
        <w:t>i</w:t>
      </w:r>
      <w:r w:rsidR="0014659C" w:rsidRPr="005E6657">
        <w:rPr>
          <w:sz w:val="22"/>
          <w:szCs w:val="22"/>
        </w:rPr>
        <w:t>n coast</w:t>
      </w:r>
      <w:r w:rsidRPr="005E6657">
        <w:rPr>
          <w:sz w:val="22"/>
          <w:szCs w:val="22"/>
        </w:rPr>
        <w:t>,</w:t>
      </w:r>
      <w:r w:rsidR="0014659C" w:rsidRPr="005E6657">
        <w:rPr>
          <w:sz w:val="22"/>
          <w:szCs w:val="22"/>
        </w:rPr>
        <w:t xml:space="preserve"> </w:t>
      </w:r>
      <w:r w:rsidR="00F914C9">
        <w:rPr>
          <w:sz w:val="22"/>
          <w:szCs w:val="22"/>
        </w:rPr>
        <w:t xml:space="preserve">Equipment. </w:t>
      </w:r>
    </w:p>
    <w:p w14:paraId="169857F6" w14:textId="77777777" w:rsidR="007560A9" w:rsidRPr="005E6657" w:rsidRDefault="00844BF7" w:rsidP="004C39D9">
      <w:pPr>
        <w:numPr>
          <w:ilvl w:val="0"/>
          <w:numId w:val="3"/>
        </w:numPr>
        <w:pBdr>
          <w:top w:val="nil"/>
          <w:left w:val="nil"/>
          <w:bottom w:val="nil"/>
          <w:right w:val="nil"/>
          <w:between w:val="nil"/>
        </w:pBdr>
        <w:rPr>
          <w:color w:val="000000"/>
          <w:sz w:val="22"/>
          <w:szCs w:val="22"/>
        </w:rPr>
      </w:pPr>
      <w:r w:rsidRPr="005E6657">
        <w:rPr>
          <w:b/>
          <w:color w:val="000000"/>
          <w:sz w:val="22"/>
          <w:szCs w:val="22"/>
        </w:rPr>
        <w:t>Contracting Authority (Project partner)</w:t>
      </w:r>
    </w:p>
    <w:p w14:paraId="73968CF3" w14:textId="1F5BC5D9" w:rsidR="0014659C" w:rsidRPr="005E6657" w:rsidRDefault="0014659C" w:rsidP="0014659C">
      <w:pPr>
        <w:pStyle w:val="BodyText"/>
        <w:ind w:firstLine="720"/>
        <w:rPr>
          <w:sz w:val="22"/>
          <w:szCs w:val="22"/>
        </w:rPr>
      </w:pPr>
      <w:r w:rsidRPr="005E6657">
        <w:rPr>
          <w:sz w:val="22"/>
          <w:szCs w:val="22"/>
        </w:rPr>
        <w:t>PE "Regional Waterworks for Montenegr</w:t>
      </w:r>
      <w:r w:rsidR="00F914C9">
        <w:rPr>
          <w:sz w:val="22"/>
          <w:szCs w:val="22"/>
        </w:rPr>
        <w:t>i</w:t>
      </w:r>
      <w:r w:rsidRPr="005E6657">
        <w:rPr>
          <w:sz w:val="22"/>
          <w:szCs w:val="22"/>
        </w:rPr>
        <w:t xml:space="preserve">n coast"– Budva </w:t>
      </w:r>
    </w:p>
    <w:p w14:paraId="71AA3265" w14:textId="77777777" w:rsidR="0014659C" w:rsidRPr="005E6657" w:rsidRDefault="0014659C" w:rsidP="007A1D38">
      <w:pPr>
        <w:pStyle w:val="BodyText"/>
        <w:ind w:firstLine="720"/>
        <w:rPr>
          <w:sz w:val="22"/>
          <w:szCs w:val="22"/>
        </w:rPr>
      </w:pPr>
      <w:r w:rsidRPr="005E6657">
        <w:rPr>
          <w:sz w:val="22"/>
          <w:szCs w:val="22"/>
        </w:rPr>
        <w:t>Ul. Popa Jola Zeca br. 5, 85310 Budva, Montenegro</w:t>
      </w:r>
    </w:p>
    <w:p w14:paraId="6222F259" w14:textId="4CE55358" w:rsidR="007A1D38" w:rsidRPr="005E6657" w:rsidRDefault="007A1D38" w:rsidP="007A1D38">
      <w:pPr>
        <w:pStyle w:val="BodyText"/>
        <w:ind w:firstLine="720"/>
        <w:rPr>
          <w:sz w:val="22"/>
          <w:szCs w:val="22"/>
        </w:rPr>
      </w:pPr>
      <w:r w:rsidRPr="005E6657">
        <w:rPr>
          <w:sz w:val="22"/>
          <w:szCs w:val="22"/>
        </w:rPr>
        <w:t>Reg. no. 02090198</w:t>
      </w:r>
    </w:p>
    <w:p w14:paraId="714C1A97" w14:textId="77777777" w:rsidR="0014659C" w:rsidRPr="005E6657" w:rsidRDefault="0014659C" w:rsidP="0014659C">
      <w:pPr>
        <w:pStyle w:val="BodyText"/>
        <w:rPr>
          <w:sz w:val="22"/>
          <w:szCs w:val="22"/>
        </w:rPr>
      </w:pPr>
    </w:p>
    <w:p w14:paraId="6C40C763" w14:textId="77777777" w:rsidR="007A1D38" w:rsidRPr="005E6657" w:rsidRDefault="007A1D38" w:rsidP="0014659C">
      <w:pPr>
        <w:pStyle w:val="BodyText"/>
        <w:rPr>
          <w:sz w:val="22"/>
          <w:szCs w:val="22"/>
        </w:rPr>
      </w:pPr>
    </w:p>
    <w:p w14:paraId="5D62A6E8" w14:textId="77777777" w:rsidR="007A1D38" w:rsidRPr="005E6657" w:rsidRDefault="007A1D38" w:rsidP="0014659C">
      <w:pPr>
        <w:pStyle w:val="BodyText"/>
        <w:rPr>
          <w:sz w:val="22"/>
          <w:szCs w:val="22"/>
        </w:rPr>
      </w:pPr>
    </w:p>
    <w:p w14:paraId="0EDF86E9" w14:textId="77777777" w:rsidR="007A1D38" w:rsidRPr="005E6657" w:rsidRDefault="007A1D38" w:rsidP="0014659C">
      <w:pPr>
        <w:pStyle w:val="BodyText"/>
        <w:rPr>
          <w:sz w:val="22"/>
          <w:szCs w:val="22"/>
        </w:rPr>
      </w:pPr>
    </w:p>
    <w:p w14:paraId="3A3D3310" w14:textId="77777777" w:rsidR="007A1D38" w:rsidRPr="005E6657" w:rsidRDefault="007A1D38" w:rsidP="0014659C">
      <w:pPr>
        <w:pStyle w:val="BodyText"/>
        <w:rPr>
          <w:sz w:val="22"/>
          <w:szCs w:val="22"/>
        </w:rPr>
      </w:pPr>
    </w:p>
    <w:p w14:paraId="196874FA" w14:textId="77777777" w:rsidR="007560A9" w:rsidRPr="005E6657" w:rsidRDefault="00844BF7">
      <w:pPr>
        <w:keepNext/>
        <w:widowControl/>
        <w:ind w:left="357"/>
        <w:jc w:val="center"/>
        <w:rPr>
          <w:b/>
          <w:sz w:val="22"/>
          <w:szCs w:val="22"/>
        </w:rPr>
      </w:pPr>
      <w:r w:rsidRPr="005E6657">
        <w:rPr>
          <w:b/>
          <w:sz w:val="22"/>
          <w:szCs w:val="22"/>
        </w:rPr>
        <w:lastRenderedPageBreak/>
        <w:t>CONTRACT SPECIFICATIONS</w:t>
      </w:r>
      <w:r w:rsidRPr="005E6657">
        <w:rPr>
          <w:noProof/>
          <w:sz w:val="22"/>
          <w:szCs w:val="22"/>
          <w:lang w:val="en-US"/>
        </w:rPr>
        <mc:AlternateContent>
          <mc:Choice Requires="wps">
            <w:drawing>
              <wp:anchor distT="0" distB="0" distL="114300" distR="114300" simplePos="0" relativeHeight="251659264" behindDoc="0" locked="0" layoutInCell="1" hidden="0" allowOverlap="1" wp14:anchorId="3B58A06C" wp14:editId="520F2F5E">
                <wp:simplePos x="0" y="0"/>
                <wp:positionH relativeFrom="margin">
                  <wp:posOffset>139700</wp:posOffset>
                </wp:positionH>
                <wp:positionV relativeFrom="paragraph">
                  <wp:posOffset>-12699</wp:posOffset>
                </wp:positionV>
                <wp:extent cx="5943600" cy="22225"/>
                <wp:effectExtent l="0" t="0" r="0" b="0"/>
                <wp:wrapNone/>
                <wp:docPr id="2" name="Straight Arrow Connector 2"/>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xmlns:w16sdtfl="http://schemas.microsoft.com/office/word/2024/wordml/sdtformatlock">
            <w:pict>
              <v:shape w14:anchorId="32B8AD64" id="Straight Arrow Connector 2" o:spid="_x0000_s1026" type="#_x0000_t32" style="position:absolute;margin-left:11pt;margin-top:-1pt;width:468pt;height:1.75pt;z-index:25165926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PT19A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" filled="t" strokecolor="#d4d4d4" strokeweight="1.75pt">
                <v:stroke joinstyle="miter"/>
                <w10:wrap anchorx="margin"/>
              </v:shape>
            </w:pict>
          </mc:Fallback>
        </mc:AlternateContent>
      </w:r>
    </w:p>
    <w:p w14:paraId="575C5557" w14:textId="77777777" w:rsidR="007560A9" w:rsidRPr="005E6657" w:rsidRDefault="00844BF7">
      <w:pPr>
        <w:numPr>
          <w:ilvl w:val="0"/>
          <w:numId w:val="3"/>
        </w:numPr>
        <w:pBdr>
          <w:top w:val="nil"/>
          <w:left w:val="nil"/>
          <w:bottom w:val="nil"/>
          <w:right w:val="nil"/>
          <w:between w:val="nil"/>
        </w:pBdr>
        <w:rPr>
          <w:color w:val="000000"/>
          <w:sz w:val="22"/>
          <w:szCs w:val="22"/>
        </w:rPr>
      </w:pPr>
      <w:r w:rsidRPr="005E6657">
        <w:rPr>
          <w:b/>
          <w:color w:val="000000"/>
          <w:sz w:val="22"/>
          <w:szCs w:val="22"/>
        </w:rPr>
        <w:t>Description of the contract</w:t>
      </w:r>
    </w:p>
    <w:p w14:paraId="49AECF93" w14:textId="7F8E95D8" w:rsidR="002E349E" w:rsidRPr="002E349E" w:rsidRDefault="002E349E" w:rsidP="002E349E">
      <w:pPr>
        <w:ind w:left="709"/>
        <w:jc w:val="both"/>
      </w:pPr>
      <w:r>
        <w:t>The contract covers the procurement, design, and installation of a complete fire hydrant network with a booster pump station at three locations: the enclosed zone around the “Đurmani” reservoir and the areas surrounding the break pressure chambers “Perazića Do” and “Sveti Stefan”. The contract includes the installation of underground pipelines and above-ground hydrants, construction of reinforced concrete foundations for technical equipment, and connection to the existing water supply system. All activities must comply with national and EU standards to ensure reliability, safety, and durability. The hydrant systems at each site will be pressure-tested, flushed, disinfected, and commissioned.</w:t>
      </w:r>
    </w:p>
    <w:p w14:paraId="7C3037BB" w14:textId="77777777" w:rsidR="002E349E" w:rsidRPr="00600097" w:rsidRDefault="002E349E" w:rsidP="00600097">
      <w:pPr>
        <w:pBdr>
          <w:top w:val="nil"/>
          <w:left w:val="nil"/>
          <w:bottom w:val="nil"/>
          <w:right w:val="nil"/>
          <w:between w:val="nil"/>
        </w:pBdr>
        <w:ind w:left="720"/>
        <w:jc w:val="both"/>
        <w:rPr>
          <w:sz w:val="22"/>
          <w:szCs w:val="22"/>
        </w:rPr>
      </w:pPr>
    </w:p>
    <w:p w14:paraId="77AB0444" w14:textId="2E6E7DAC" w:rsidR="007560A9" w:rsidRPr="005E6657" w:rsidRDefault="00844BF7">
      <w:pPr>
        <w:numPr>
          <w:ilvl w:val="0"/>
          <w:numId w:val="3"/>
        </w:numPr>
        <w:pBdr>
          <w:top w:val="nil"/>
          <w:left w:val="nil"/>
          <w:bottom w:val="nil"/>
          <w:right w:val="nil"/>
          <w:between w:val="nil"/>
        </w:pBdr>
        <w:rPr>
          <w:color w:val="000000"/>
          <w:sz w:val="22"/>
          <w:szCs w:val="22"/>
        </w:rPr>
      </w:pPr>
      <w:r w:rsidRPr="005E6657">
        <w:rPr>
          <w:b/>
          <w:color w:val="000000"/>
          <w:sz w:val="22"/>
          <w:szCs w:val="22"/>
        </w:rPr>
        <w:t>Number and titles of lots</w:t>
      </w:r>
    </w:p>
    <w:p w14:paraId="76CF9624" w14:textId="78B3A5F2" w:rsidR="007560A9" w:rsidRPr="005E6657" w:rsidRDefault="00844BF7" w:rsidP="00A43116">
      <w:pPr>
        <w:pBdr>
          <w:top w:val="nil"/>
          <w:left w:val="nil"/>
          <w:bottom w:val="nil"/>
          <w:right w:val="nil"/>
          <w:between w:val="nil"/>
        </w:pBdr>
        <w:ind w:left="709" w:right="360"/>
        <w:jc w:val="both"/>
        <w:rPr>
          <w:color w:val="000000"/>
          <w:sz w:val="22"/>
          <w:szCs w:val="22"/>
        </w:rPr>
      </w:pPr>
      <w:r w:rsidRPr="005E6657">
        <w:rPr>
          <w:color w:val="000000"/>
          <w:sz w:val="22"/>
          <w:szCs w:val="22"/>
        </w:rPr>
        <w:t>One lot only</w:t>
      </w:r>
      <w:r w:rsidR="0014659C" w:rsidRPr="005E6657">
        <w:rPr>
          <w:color w:val="000000"/>
          <w:sz w:val="22"/>
          <w:szCs w:val="22"/>
        </w:rPr>
        <w:t>.</w:t>
      </w:r>
    </w:p>
    <w:p w14:paraId="69170186" w14:textId="77777777" w:rsidR="007560A9" w:rsidRPr="005E6657" w:rsidRDefault="00844BF7">
      <w:pPr>
        <w:ind w:left="360"/>
        <w:jc w:val="center"/>
        <w:rPr>
          <w:b/>
          <w:sz w:val="22"/>
          <w:szCs w:val="22"/>
        </w:rPr>
      </w:pPr>
      <w:r w:rsidRPr="005E6657">
        <w:rPr>
          <w:b/>
          <w:sz w:val="22"/>
          <w:szCs w:val="22"/>
        </w:rPr>
        <w:t>TERMS OF PARTICIPATION</w:t>
      </w:r>
      <w:r w:rsidRPr="005E6657">
        <w:rPr>
          <w:noProof/>
          <w:sz w:val="22"/>
          <w:szCs w:val="22"/>
          <w:lang w:val="en-US"/>
        </w:rPr>
        <mc:AlternateContent>
          <mc:Choice Requires="wps">
            <w:drawing>
              <wp:anchor distT="0" distB="0" distL="114300" distR="114300" simplePos="0" relativeHeight="251660288" behindDoc="0" locked="0" layoutInCell="1" hidden="0" allowOverlap="1" wp14:anchorId="2B9904B6" wp14:editId="2856929C">
                <wp:simplePos x="0" y="0"/>
                <wp:positionH relativeFrom="margin">
                  <wp:posOffset>139700</wp:posOffset>
                </wp:positionH>
                <wp:positionV relativeFrom="paragraph">
                  <wp:posOffset>0</wp:posOffset>
                </wp:positionV>
                <wp:extent cx="5943600" cy="22225"/>
                <wp:effectExtent l="0" t="0" r="0" b="0"/>
                <wp:wrapNone/>
                <wp:docPr id="5" name="Straight Arrow Connector 5"/>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xmlns:w16sdtfl="http://schemas.microsoft.com/office/word/2024/wordml/sdtformatlock">
            <w:pict>
              <v:shape w14:anchorId="7439212D" id="Straight Arrow Connector 5" o:spid="_x0000_s1026" type="#_x0000_t32" style="position:absolute;margin-left:11pt;margin-top:0;width:468pt;height:1.75pt;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" filled="t" strokecolor="#d4d4d4" strokeweight="1.75pt">
                <v:stroke joinstyle="miter"/>
                <w10:wrap anchorx="margin"/>
              </v:shape>
            </w:pict>
          </mc:Fallback>
        </mc:AlternateContent>
      </w:r>
    </w:p>
    <w:p w14:paraId="32A267B1" w14:textId="77777777" w:rsidR="007560A9" w:rsidRPr="005E6657" w:rsidRDefault="00844BF7">
      <w:pPr>
        <w:numPr>
          <w:ilvl w:val="0"/>
          <w:numId w:val="3"/>
        </w:numPr>
        <w:pBdr>
          <w:top w:val="nil"/>
          <w:left w:val="nil"/>
          <w:bottom w:val="nil"/>
          <w:right w:val="nil"/>
          <w:between w:val="nil"/>
        </w:pBdr>
        <w:rPr>
          <w:color w:val="000000"/>
          <w:sz w:val="22"/>
          <w:szCs w:val="22"/>
        </w:rPr>
      </w:pPr>
      <w:bookmarkStart w:id="0" w:name="_gjdgxs" w:colFirst="0" w:colLast="0"/>
      <w:bookmarkEnd w:id="0"/>
      <w:r w:rsidRPr="005E6657">
        <w:rPr>
          <w:b/>
          <w:color w:val="000000"/>
          <w:sz w:val="22"/>
          <w:szCs w:val="22"/>
        </w:rPr>
        <w:t>Eligibility and rules of origin</w:t>
      </w:r>
    </w:p>
    <w:p w14:paraId="62F2EA7E" w14:textId="2AC15347" w:rsidR="007560A9" w:rsidRPr="005E6657" w:rsidRDefault="00ED6095" w:rsidP="002C0AC4">
      <w:pPr>
        <w:pBdr>
          <w:top w:val="nil"/>
          <w:left w:val="nil"/>
          <w:bottom w:val="nil"/>
          <w:right w:val="nil"/>
          <w:between w:val="nil"/>
        </w:pBdr>
        <w:ind w:left="709"/>
        <w:jc w:val="both"/>
        <w:rPr>
          <w:color w:val="000000"/>
          <w:sz w:val="22"/>
          <w:szCs w:val="22"/>
        </w:rPr>
      </w:pPr>
      <w:bookmarkStart w:id="1" w:name="_30j0zll" w:colFirst="0" w:colLast="0"/>
      <w:bookmarkStart w:id="2" w:name="_1fob9te" w:colFirst="0" w:colLast="0"/>
      <w:bookmarkEnd w:id="1"/>
      <w:bookmarkEnd w:id="2"/>
      <w:r w:rsidRPr="005E6657">
        <w:rPr>
          <w:color w:val="000000"/>
          <w:sz w:val="22"/>
          <w:szCs w:val="22"/>
        </w:rPr>
        <w:t>Participation in the award of procurement contracts and other award procedures for actions financed under the Programme is open to all legal persons which are effectively established in the participating countries, other Member States, other IPA II</w:t>
      </w:r>
      <w:r w:rsidR="00B76AC2" w:rsidRPr="005E6657">
        <w:rPr>
          <w:color w:val="000000"/>
          <w:sz w:val="22"/>
          <w:szCs w:val="22"/>
        </w:rPr>
        <w:t>I</w:t>
      </w:r>
      <w:r w:rsidRPr="005E6657">
        <w:rPr>
          <w:color w:val="000000"/>
          <w:sz w:val="22"/>
          <w:szCs w:val="22"/>
        </w:rPr>
        <w:t xml:space="preserve"> beneficiaries, contracting parties to the Agreement on the European Economic Area and partner countries covered by the European Neighbourhood Instrument (hereafter referred to as ‘eligible countries’), and to International Organisations.</w:t>
      </w:r>
    </w:p>
    <w:p w14:paraId="4F307807" w14:textId="55A498CB" w:rsidR="00ED6095" w:rsidRPr="005E6657" w:rsidRDefault="00ED6095" w:rsidP="00ED6095">
      <w:pPr>
        <w:pBdr>
          <w:top w:val="nil"/>
          <w:left w:val="nil"/>
          <w:bottom w:val="nil"/>
          <w:right w:val="nil"/>
          <w:between w:val="nil"/>
        </w:pBdr>
        <w:ind w:left="709"/>
        <w:jc w:val="both"/>
        <w:rPr>
          <w:sz w:val="22"/>
          <w:szCs w:val="22"/>
        </w:rPr>
      </w:pPr>
      <w:r w:rsidRPr="005E6657">
        <w:rPr>
          <w:sz w:val="22"/>
          <w:szCs w:val="22"/>
        </w:rPr>
        <w:t>All supplies purchased under a procurement contract, or in accordance with a grant agreement, financed under IPA II</w:t>
      </w:r>
      <w:r w:rsidR="00B76AC2" w:rsidRPr="005E6657">
        <w:rPr>
          <w:sz w:val="22"/>
          <w:szCs w:val="22"/>
        </w:rPr>
        <w:t>I</w:t>
      </w:r>
      <w:r w:rsidRPr="005E6657">
        <w:rPr>
          <w:sz w:val="22"/>
          <w:szCs w:val="22"/>
        </w:rPr>
        <w:t xml:space="preserve"> shall originate from an eligible country or from any country which is eligible under the rules of the partner or other donor or member state or determined in the constitutive act of the trust fund.</w:t>
      </w:r>
    </w:p>
    <w:p w14:paraId="4AD0E372" w14:textId="29096131" w:rsidR="00ED6095" w:rsidRPr="005E6657" w:rsidRDefault="00ED6095" w:rsidP="00ED6095">
      <w:pPr>
        <w:pBdr>
          <w:top w:val="nil"/>
          <w:left w:val="nil"/>
          <w:bottom w:val="nil"/>
          <w:right w:val="nil"/>
          <w:between w:val="nil"/>
        </w:pBdr>
        <w:ind w:left="709"/>
        <w:jc w:val="both"/>
        <w:rPr>
          <w:sz w:val="22"/>
          <w:szCs w:val="22"/>
        </w:rPr>
      </w:pPr>
      <w:r w:rsidRPr="005E6657">
        <w:rPr>
          <w:sz w:val="22"/>
          <w:szCs w:val="22"/>
        </w:rPr>
        <w:t xml:space="preserve">As the </w:t>
      </w:r>
      <w:r w:rsidR="00165899">
        <w:rPr>
          <w:sz w:val="22"/>
          <w:szCs w:val="22"/>
        </w:rPr>
        <w:t xml:space="preserve">Montenegrin </w:t>
      </w:r>
      <w:r w:rsidRPr="005E6657">
        <w:rPr>
          <w:sz w:val="22"/>
          <w:szCs w:val="22"/>
        </w:rPr>
        <w:t>national rules do not contain any restrictions as regards the rules of origin, all goods can originate from any country, irrespective of any thresholds.</w:t>
      </w:r>
    </w:p>
    <w:p w14:paraId="1C1ACC4D" w14:textId="77777777" w:rsidR="007560A9" w:rsidRPr="005E6657" w:rsidRDefault="00844BF7">
      <w:pPr>
        <w:keepNext/>
        <w:keepLines/>
        <w:numPr>
          <w:ilvl w:val="0"/>
          <w:numId w:val="3"/>
        </w:numPr>
        <w:pBdr>
          <w:top w:val="nil"/>
          <w:left w:val="nil"/>
          <w:bottom w:val="nil"/>
          <w:right w:val="nil"/>
          <w:between w:val="nil"/>
        </w:pBdr>
        <w:rPr>
          <w:color w:val="000000"/>
          <w:sz w:val="22"/>
          <w:szCs w:val="22"/>
        </w:rPr>
      </w:pPr>
      <w:r w:rsidRPr="005E6657">
        <w:rPr>
          <w:b/>
          <w:color w:val="000000"/>
          <w:sz w:val="22"/>
          <w:szCs w:val="22"/>
        </w:rPr>
        <w:t>Grounds for exclusion</w:t>
      </w:r>
    </w:p>
    <w:p w14:paraId="4B1C685C" w14:textId="12C761EA" w:rsidR="007560A9" w:rsidRPr="005E6657" w:rsidRDefault="00844BF7">
      <w:pPr>
        <w:keepNext/>
        <w:keepLines/>
        <w:ind w:left="709"/>
        <w:jc w:val="both"/>
        <w:rPr>
          <w:sz w:val="22"/>
          <w:szCs w:val="22"/>
        </w:rPr>
      </w:pPr>
      <w:r w:rsidRPr="005E6657">
        <w:rPr>
          <w:sz w:val="22"/>
          <w:szCs w:val="22"/>
        </w:rPr>
        <w:t xml:space="preserve">Tenderers must submit a signed declaration, included in the Tender Form for a </w:t>
      </w:r>
      <w:r w:rsidR="002E349E">
        <w:rPr>
          <w:sz w:val="22"/>
          <w:szCs w:val="22"/>
        </w:rPr>
        <w:t>Supply</w:t>
      </w:r>
      <w:r w:rsidRPr="005E6657">
        <w:rPr>
          <w:sz w:val="22"/>
          <w:szCs w:val="22"/>
        </w:rPr>
        <w:t xml:space="preserve"> Contract, to the effect that they are not in any of the situations listed in point 2.</w:t>
      </w:r>
      <w:r w:rsidR="004C39D9" w:rsidRPr="005E6657">
        <w:rPr>
          <w:sz w:val="22"/>
          <w:szCs w:val="22"/>
        </w:rPr>
        <w:t>6.10.1.</w:t>
      </w:r>
      <w:r w:rsidRPr="005E6657">
        <w:rPr>
          <w:sz w:val="22"/>
          <w:szCs w:val="22"/>
        </w:rPr>
        <w:t xml:space="preserve"> of the </w:t>
      </w:r>
      <w:r w:rsidRPr="005E6657">
        <w:rPr>
          <w:b/>
          <w:sz w:val="22"/>
          <w:szCs w:val="22"/>
        </w:rPr>
        <w:t>Practical Guide.</w:t>
      </w:r>
    </w:p>
    <w:p w14:paraId="1BDC68B7" w14:textId="77777777" w:rsidR="007560A9" w:rsidRPr="005E6657" w:rsidRDefault="00844BF7">
      <w:pPr>
        <w:numPr>
          <w:ilvl w:val="0"/>
          <w:numId w:val="3"/>
        </w:numPr>
        <w:pBdr>
          <w:top w:val="nil"/>
          <w:left w:val="nil"/>
          <w:bottom w:val="nil"/>
          <w:right w:val="nil"/>
          <w:between w:val="nil"/>
        </w:pBdr>
        <w:rPr>
          <w:color w:val="000000"/>
          <w:sz w:val="22"/>
          <w:szCs w:val="22"/>
        </w:rPr>
      </w:pPr>
      <w:r w:rsidRPr="005E6657">
        <w:rPr>
          <w:b/>
          <w:color w:val="000000"/>
          <w:sz w:val="22"/>
          <w:szCs w:val="22"/>
        </w:rPr>
        <w:t>Number of tenders</w:t>
      </w:r>
    </w:p>
    <w:p w14:paraId="71A9FF68" w14:textId="3970150A" w:rsidR="007560A9" w:rsidRPr="005E6657" w:rsidRDefault="00844BF7">
      <w:pPr>
        <w:ind w:left="709"/>
        <w:jc w:val="both"/>
        <w:rPr>
          <w:sz w:val="22"/>
          <w:szCs w:val="22"/>
        </w:rPr>
      </w:pPr>
      <w:r w:rsidRPr="005E6657">
        <w:rPr>
          <w:sz w:val="22"/>
          <w:szCs w:val="22"/>
        </w:rPr>
        <w:t>Tenderers may submit only one tender per lot. Tenders for parts of a lot will not be considered. Any tenderer may state in its tender that it would offer a discount in the event that its tender is accepted for more than one lot. Tenderers may not</w:t>
      </w:r>
      <w:r w:rsidR="0014659C" w:rsidRPr="005E6657">
        <w:rPr>
          <w:sz w:val="22"/>
          <w:szCs w:val="22"/>
        </w:rPr>
        <w:t xml:space="preserve"> </w:t>
      </w:r>
      <w:r w:rsidRPr="005E6657">
        <w:rPr>
          <w:sz w:val="22"/>
          <w:szCs w:val="22"/>
        </w:rPr>
        <w:t>submit a tender for a variant solution in addition to their tender for the works required in the tender dossier.</w:t>
      </w:r>
    </w:p>
    <w:p w14:paraId="3706EE58" w14:textId="77777777" w:rsidR="00022A78" w:rsidRPr="005E6657" w:rsidRDefault="00022A78">
      <w:pPr>
        <w:ind w:left="709"/>
        <w:jc w:val="both"/>
        <w:rPr>
          <w:sz w:val="22"/>
          <w:szCs w:val="22"/>
        </w:rPr>
      </w:pPr>
    </w:p>
    <w:p w14:paraId="21B82B33" w14:textId="77777777" w:rsidR="007560A9" w:rsidRPr="005E6657" w:rsidRDefault="00844BF7">
      <w:pPr>
        <w:numPr>
          <w:ilvl w:val="0"/>
          <w:numId w:val="3"/>
        </w:numPr>
        <w:pBdr>
          <w:top w:val="nil"/>
          <w:left w:val="nil"/>
          <w:bottom w:val="nil"/>
          <w:right w:val="nil"/>
          <w:between w:val="nil"/>
        </w:pBdr>
        <w:rPr>
          <w:color w:val="000000"/>
          <w:sz w:val="22"/>
          <w:szCs w:val="22"/>
        </w:rPr>
      </w:pPr>
      <w:r w:rsidRPr="005E6657">
        <w:rPr>
          <w:b/>
          <w:color w:val="000000"/>
          <w:sz w:val="22"/>
          <w:szCs w:val="22"/>
        </w:rPr>
        <w:t>Tender guarantee</w:t>
      </w:r>
    </w:p>
    <w:p w14:paraId="132D66C2" w14:textId="44D72474" w:rsidR="007560A9" w:rsidRPr="005E6657" w:rsidRDefault="00844BF7">
      <w:pPr>
        <w:ind w:left="709"/>
        <w:jc w:val="both"/>
        <w:rPr>
          <w:sz w:val="22"/>
          <w:szCs w:val="22"/>
        </w:rPr>
      </w:pPr>
      <w:r w:rsidRPr="005E6657">
        <w:rPr>
          <w:sz w:val="22"/>
          <w:szCs w:val="22"/>
        </w:rPr>
        <w:t xml:space="preserve"> No tender guarantee is required.</w:t>
      </w:r>
    </w:p>
    <w:p w14:paraId="6C833850" w14:textId="77777777" w:rsidR="007A1D38" w:rsidRPr="005E6657" w:rsidRDefault="007A1D38">
      <w:pPr>
        <w:ind w:left="709"/>
        <w:jc w:val="both"/>
        <w:rPr>
          <w:sz w:val="22"/>
          <w:szCs w:val="22"/>
        </w:rPr>
      </w:pPr>
    </w:p>
    <w:p w14:paraId="4FCBE93B" w14:textId="77777777" w:rsidR="007560A9" w:rsidRPr="005E6657" w:rsidRDefault="00844BF7">
      <w:pPr>
        <w:numPr>
          <w:ilvl w:val="0"/>
          <w:numId w:val="3"/>
        </w:numPr>
        <w:pBdr>
          <w:top w:val="nil"/>
          <w:left w:val="nil"/>
          <w:bottom w:val="nil"/>
          <w:right w:val="nil"/>
          <w:between w:val="nil"/>
        </w:pBdr>
        <w:rPr>
          <w:color w:val="000000"/>
          <w:sz w:val="22"/>
          <w:szCs w:val="22"/>
        </w:rPr>
      </w:pPr>
      <w:r w:rsidRPr="005E6657">
        <w:rPr>
          <w:b/>
          <w:color w:val="000000"/>
          <w:sz w:val="22"/>
          <w:szCs w:val="22"/>
        </w:rPr>
        <w:t>Performance guarantee</w:t>
      </w:r>
    </w:p>
    <w:p w14:paraId="0DBDFC59" w14:textId="005BBD21" w:rsidR="007560A9" w:rsidRDefault="00844BF7" w:rsidP="00F914C9">
      <w:pPr>
        <w:ind w:left="709"/>
        <w:rPr>
          <w:sz w:val="22"/>
          <w:szCs w:val="22"/>
        </w:rPr>
      </w:pPr>
      <w:r w:rsidRPr="005E6657">
        <w:rPr>
          <w:sz w:val="22"/>
          <w:szCs w:val="22"/>
        </w:rPr>
        <w:lastRenderedPageBreak/>
        <w:t>No performance guarantee is required.</w:t>
      </w:r>
    </w:p>
    <w:p w14:paraId="15A7279E" w14:textId="77777777" w:rsidR="00F914C9" w:rsidRPr="005E6657" w:rsidRDefault="00F914C9" w:rsidP="00F914C9">
      <w:pPr>
        <w:ind w:left="709"/>
        <w:rPr>
          <w:sz w:val="22"/>
          <w:szCs w:val="22"/>
        </w:rPr>
      </w:pPr>
    </w:p>
    <w:p w14:paraId="4C86998E" w14:textId="77777777" w:rsidR="007560A9" w:rsidRPr="005E6657" w:rsidRDefault="00844BF7">
      <w:pPr>
        <w:numPr>
          <w:ilvl w:val="0"/>
          <w:numId w:val="3"/>
        </w:numPr>
        <w:pBdr>
          <w:top w:val="nil"/>
          <w:left w:val="nil"/>
          <w:bottom w:val="nil"/>
          <w:right w:val="nil"/>
          <w:between w:val="nil"/>
        </w:pBdr>
        <w:rPr>
          <w:color w:val="000000"/>
          <w:sz w:val="22"/>
          <w:szCs w:val="22"/>
        </w:rPr>
      </w:pPr>
      <w:r w:rsidRPr="005E6657">
        <w:rPr>
          <w:b/>
          <w:color w:val="000000"/>
          <w:sz w:val="22"/>
          <w:szCs w:val="22"/>
        </w:rPr>
        <w:t>Information meeting and/or site visit</w:t>
      </w:r>
    </w:p>
    <w:p w14:paraId="62BDB167" w14:textId="34D2CE15" w:rsidR="007560A9" w:rsidRPr="005E6657" w:rsidRDefault="00844BF7">
      <w:pPr>
        <w:ind w:left="709"/>
        <w:jc w:val="both"/>
        <w:rPr>
          <w:sz w:val="22"/>
          <w:szCs w:val="22"/>
        </w:rPr>
      </w:pPr>
      <w:r w:rsidRPr="005E6657">
        <w:rPr>
          <w:sz w:val="22"/>
          <w:szCs w:val="22"/>
        </w:rPr>
        <w:t>No information meeting is planned.</w:t>
      </w:r>
    </w:p>
    <w:p w14:paraId="3311E2F8" w14:textId="0042F78E" w:rsidR="007A1D38" w:rsidRPr="005E6657" w:rsidRDefault="007A1D38">
      <w:pPr>
        <w:ind w:left="709"/>
        <w:jc w:val="both"/>
        <w:rPr>
          <w:sz w:val="22"/>
          <w:szCs w:val="22"/>
        </w:rPr>
      </w:pPr>
      <w:r w:rsidRPr="005E6657">
        <w:rPr>
          <w:sz w:val="22"/>
          <w:szCs w:val="22"/>
        </w:rPr>
        <w:t>Tenderers are advised to acquaint themselves with the site conditions on their own, as needed, any such visit will be at the tenderer’s responsibility.</w:t>
      </w:r>
    </w:p>
    <w:p w14:paraId="60C51E8A" w14:textId="44ED024F" w:rsidR="007560A9" w:rsidRPr="005E6657" w:rsidRDefault="007560A9">
      <w:pPr>
        <w:ind w:left="709"/>
        <w:jc w:val="both"/>
        <w:rPr>
          <w:sz w:val="22"/>
          <w:szCs w:val="22"/>
        </w:rPr>
      </w:pPr>
    </w:p>
    <w:p w14:paraId="05318581" w14:textId="77777777" w:rsidR="007560A9" w:rsidRPr="005E6657" w:rsidRDefault="00844BF7">
      <w:pPr>
        <w:numPr>
          <w:ilvl w:val="0"/>
          <w:numId w:val="3"/>
        </w:numPr>
        <w:pBdr>
          <w:top w:val="nil"/>
          <w:left w:val="nil"/>
          <w:bottom w:val="nil"/>
          <w:right w:val="nil"/>
          <w:between w:val="nil"/>
        </w:pBdr>
        <w:rPr>
          <w:color w:val="000000"/>
          <w:sz w:val="22"/>
          <w:szCs w:val="22"/>
        </w:rPr>
      </w:pPr>
      <w:r w:rsidRPr="005E6657">
        <w:rPr>
          <w:b/>
          <w:color w:val="000000"/>
          <w:sz w:val="22"/>
          <w:szCs w:val="22"/>
        </w:rPr>
        <w:t>Tender validity</w:t>
      </w:r>
    </w:p>
    <w:p w14:paraId="57DB5285" w14:textId="77777777" w:rsidR="007560A9" w:rsidRPr="005E6657" w:rsidRDefault="00844BF7" w:rsidP="002E349E">
      <w:pPr>
        <w:ind w:left="709"/>
        <w:jc w:val="both"/>
        <w:rPr>
          <w:sz w:val="22"/>
          <w:szCs w:val="22"/>
        </w:rPr>
      </w:pPr>
      <w:r w:rsidRPr="005E6657">
        <w:rPr>
          <w:sz w:val="22"/>
          <w:szCs w:val="22"/>
        </w:rPr>
        <w:t>Tenders must remain valid for a period of 90 days after the deadline for submission of tenders. In exceptional circumstances, the Contracting Authority may, before the validity period expires, request that tenderers extend the validity of tenders for a specific period.</w:t>
      </w:r>
    </w:p>
    <w:p w14:paraId="13F99C0D" w14:textId="77777777" w:rsidR="007560A9" w:rsidRPr="005E6657" w:rsidRDefault="00844BF7">
      <w:pPr>
        <w:numPr>
          <w:ilvl w:val="0"/>
          <w:numId w:val="3"/>
        </w:numPr>
        <w:pBdr>
          <w:top w:val="nil"/>
          <w:left w:val="nil"/>
          <w:bottom w:val="nil"/>
          <w:right w:val="nil"/>
          <w:between w:val="nil"/>
        </w:pBdr>
        <w:rPr>
          <w:color w:val="000000"/>
          <w:sz w:val="22"/>
          <w:szCs w:val="22"/>
        </w:rPr>
      </w:pPr>
      <w:r w:rsidRPr="005E6657">
        <w:rPr>
          <w:b/>
          <w:color w:val="000000"/>
          <w:sz w:val="22"/>
          <w:szCs w:val="22"/>
        </w:rPr>
        <w:t>Period of implementation of tasks</w:t>
      </w:r>
    </w:p>
    <w:p w14:paraId="3198AC9D" w14:textId="099C4EFA" w:rsidR="007560A9" w:rsidRPr="005E6657" w:rsidRDefault="00F3048C" w:rsidP="00F3048C">
      <w:pPr>
        <w:ind w:left="709" w:right="1"/>
        <w:jc w:val="both"/>
        <w:rPr>
          <w:sz w:val="22"/>
          <w:szCs w:val="22"/>
        </w:rPr>
      </w:pPr>
      <w:r w:rsidRPr="005E6657">
        <w:rPr>
          <w:sz w:val="22"/>
          <w:szCs w:val="22"/>
        </w:rPr>
        <w:t xml:space="preserve">The period of implementation for the contracted tasks is </w:t>
      </w:r>
      <w:r w:rsidRPr="00F914C9">
        <w:rPr>
          <w:sz w:val="22"/>
          <w:szCs w:val="22"/>
        </w:rPr>
        <w:t>estimated at </w:t>
      </w:r>
      <w:r w:rsidR="00DB2A8D">
        <w:rPr>
          <w:b/>
          <w:bCs/>
          <w:sz w:val="22"/>
          <w:szCs w:val="22"/>
        </w:rPr>
        <w:t>9</w:t>
      </w:r>
      <w:r w:rsidRPr="00F914C9">
        <w:rPr>
          <w:b/>
          <w:bCs/>
          <w:sz w:val="22"/>
          <w:szCs w:val="22"/>
        </w:rPr>
        <w:t>0 calendar days</w:t>
      </w:r>
      <w:r w:rsidRPr="00F914C9">
        <w:rPr>
          <w:sz w:val="22"/>
          <w:szCs w:val="22"/>
        </w:rPr>
        <w:t xml:space="preserve">, starting from the date of signing the contract by both parties. </w:t>
      </w:r>
      <w:r w:rsidR="00FB6A05">
        <w:rPr>
          <w:sz w:val="22"/>
          <w:szCs w:val="22"/>
        </w:rPr>
        <w:t>All contractual obligations and</w:t>
      </w:r>
      <w:r w:rsidRPr="00F914C9">
        <w:rPr>
          <w:sz w:val="22"/>
          <w:szCs w:val="22"/>
        </w:rPr>
        <w:t xml:space="preserve"> </w:t>
      </w:r>
      <w:r w:rsidR="00DB2A8D">
        <w:rPr>
          <w:sz w:val="22"/>
          <w:szCs w:val="22"/>
        </w:rPr>
        <w:t>equipment</w:t>
      </w:r>
      <w:r w:rsidRPr="00F914C9">
        <w:rPr>
          <w:sz w:val="22"/>
          <w:szCs w:val="22"/>
        </w:rPr>
        <w:t xml:space="preserve"> handover will be no later than </w:t>
      </w:r>
      <w:r w:rsidR="00FB6A05">
        <w:rPr>
          <w:sz w:val="22"/>
          <w:szCs w:val="22"/>
        </w:rPr>
        <w:t>90</w:t>
      </w:r>
      <w:r w:rsidRPr="00F914C9">
        <w:rPr>
          <w:sz w:val="22"/>
          <w:szCs w:val="22"/>
        </w:rPr>
        <w:t xml:space="preserve"> days after contract signature, so that the </w:t>
      </w:r>
      <w:r w:rsidR="002E349E">
        <w:rPr>
          <w:sz w:val="22"/>
          <w:szCs w:val="22"/>
        </w:rPr>
        <w:t xml:space="preserve">Contractual obligations </w:t>
      </w:r>
      <w:r w:rsidRPr="00F914C9">
        <w:rPr>
          <w:sz w:val="22"/>
          <w:szCs w:val="22"/>
        </w:rPr>
        <w:t xml:space="preserve">are completed within the required timeframe. </w:t>
      </w:r>
    </w:p>
    <w:p w14:paraId="4922CCC4" w14:textId="77777777" w:rsidR="007560A9" w:rsidRPr="005E6657" w:rsidRDefault="00844BF7">
      <w:pPr>
        <w:keepNext/>
        <w:keepLines/>
        <w:rPr>
          <w:sz w:val="22"/>
          <w:szCs w:val="22"/>
        </w:rPr>
      </w:pPr>
      <w:r w:rsidRPr="005E6657">
        <w:rPr>
          <w:noProof/>
          <w:sz w:val="22"/>
          <w:szCs w:val="22"/>
          <w:lang w:val="en-US"/>
        </w:rPr>
        <mc:AlternateContent>
          <mc:Choice Requires="wps">
            <w:drawing>
              <wp:anchor distT="0" distB="0" distL="114300" distR="114300" simplePos="0" relativeHeight="251661312" behindDoc="0" locked="0" layoutInCell="1" hidden="0" allowOverlap="1" wp14:anchorId="1C433202" wp14:editId="58E22734">
                <wp:simplePos x="0" y="0"/>
                <wp:positionH relativeFrom="margin">
                  <wp:posOffset>114300</wp:posOffset>
                </wp:positionH>
                <wp:positionV relativeFrom="paragraph">
                  <wp:posOffset>139700</wp:posOffset>
                </wp:positionV>
                <wp:extent cx="5943600" cy="22225"/>
                <wp:effectExtent l="0" t="0" r="0" b="0"/>
                <wp:wrapNone/>
                <wp:docPr id="4" name="Straight Arrow Connector 4"/>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xmlns:w16sdtfl="http://schemas.microsoft.com/office/word/2024/wordml/sdtformatlock">
            <w:pict>
              <v:shape w14:anchorId="315DA846" id="Straight Arrow Connector 4" o:spid="_x0000_s1026" type="#_x0000_t32" style="position:absolute;margin-left:9pt;margin-top:11pt;width:468pt;height:1.75pt;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yRp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" filled="t" strokecolor="#d4d4d4" strokeweight="1.75pt">
                <v:stroke joinstyle="miter"/>
                <w10:wrap anchorx="margin"/>
              </v:shape>
            </w:pict>
          </mc:Fallback>
        </mc:AlternateContent>
      </w:r>
    </w:p>
    <w:p w14:paraId="57164ADA" w14:textId="77777777" w:rsidR="007560A9" w:rsidRPr="005E6657" w:rsidRDefault="00844BF7">
      <w:pPr>
        <w:keepNext/>
        <w:keepLines/>
        <w:ind w:left="360"/>
        <w:jc w:val="center"/>
        <w:rPr>
          <w:b/>
          <w:sz w:val="22"/>
          <w:szCs w:val="22"/>
        </w:rPr>
      </w:pPr>
      <w:r w:rsidRPr="005E6657">
        <w:rPr>
          <w:b/>
          <w:sz w:val="22"/>
          <w:szCs w:val="22"/>
        </w:rPr>
        <w:t>SELECTION AND AWARD CRITERIA</w:t>
      </w:r>
    </w:p>
    <w:p w14:paraId="47F33061" w14:textId="0F10A17A" w:rsidR="007560A9" w:rsidRPr="005E6657" w:rsidRDefault="00844BF7" w:rsidP="00826305">
      <w:pPr>
        <w:numPr>
          <w:ilvl w:val="0"/>
          <w:numId w:val="3"/>
        </w:numPr>
        <w:pBdr>
          <w:top w:val="nil"/>
          <w:left w:val="nil"/>
          <w:bottom w:val="nil"/>
          <w:right w:val="nil"/>
          <w:between w:val="nil"/>
        </w:pBdr>
        <w:rPr>
          <w:color w:val="000000"/>
          <w:sz w:val="22"/>
          <w:szCs w:val="22"/>
        </w:rPr>
      </w:pPr>
      <w:r w:rsidRPr="005E6657">
        <w:rPr>
          <w:b/>
          <w:color w:val="000000"/>
          <w:sz w:val="22"/>
          <w:szCs w:val="22"/>
        </w:rPr>
        <w:t>Selection criteria</w:t>
      </w:r>
    </w:p>
    <w:p w14:paraId="09A07601" w14:textId="77777777" w:rsidR="00EC0FAC" w:rsidRPr="005E6657" w:rsidRDefault="00EC0FAC" w:rsidP="00826305">
      <w:pPr>
        <w:pStyle w:val="NormalWeb"/>
        <w:ind w:left="709"/>
        <w:rPr>
          <w:color w:val="000000"/>
          <w:sz w:val="22"/>
          <w:szCs w:val="22"/>
        </w:rPr>
      </w:pPr>
      <w:r w:rsidRPr="005E6657">
        <w:rPr>
          <w:color w:val="000000"/>
          <w:sz w:val="22"/>
          <w:szCs w:val="22"/>
        </w:rPr>
        <w:t>In order to be eligible for the award of the contract, tenderers must provide evidence that they meet the selection criteria. If a tender is submitted by a consortium, unless otherwise specified, the selection criteria will be applied to the consortium as a whole.</w:t>
      </w:r>
    </w:p>
    <w:p w14:paraId="6BDBB0CB" w14:textId="77777777" w:rsidR="00EC0FAC" w:rsidRPr="005E6657" w:rsidRDefault="00EC0FAC" w:rsidP="00826305">
      <w:pPr>
        <w:pStyle w:val="NormalWeb"/>
        <w:ind w:left="709"/>
        <w:rPr>
          <w:color w:val="000000"/>
          <w:sz w:val="22"/>
          <w:szCs w:val="22"/>
        </w:rPr>
      </w:pPr>
      <w:r w:rsidRPr="005E6657">
        <w:rPr>
          <w:color w:val="000000"/>
          <w:sz w:val="22"/>
          <w:szCs w:val="22"/>
        </w:rPr>
        <w:t>The selection criteria for each tenderer are as follows:</w:t>
      </w:r>
    </w:p>
    <w:p w14:paraId="661A50EF" w14:textId="124CF394" w:rsidR="00EC0FAC" w:rsidRPr="005E6657" w:rsidRDefault="00EC0FAC" w:rsidP="00826305">
      <w:pPr>
        <w:pStyle w:val="NormalWeb"/>
        <w:ind w:left="709"/>
        <w:rPr>
          <w:color w:val="000000"/>
          <w:sz w:val="22"/>
          <w:szCs w:val="22"/>
        </w:rPr>
      </w:pPr>
      <w:r w:rsidRPr="005E6657">
        <w:rPr>
          <w:rStyle w:val="Strong"/>
          <w:color w:val="000000"/>
          <w:sz w:val="22"/>
          <w:szCs w:val="22"/>
        </w:rPr>
        <w:t xml:space="preserve"> Economic and financial capacity of the candidate:</w:t>
      </w:r>
    </w:p>
    <w:p w14:paraId="5B75CDC5" w14:textId="01134820" w:rsidR="00F914C9" w:rsidRPr="002E349E" w:rsidRDefault="00EC0FAC" w:rsidP="00F914C9">
      <w:pPr>
        <w:pStyle w:val="NormalWeb"/>
        <w:numPr>
          <w:ilvl w:val="0"/>
          <w:numId w:val="7"/>
        </w:numPr>
        <w:ind w:left="709"/>
        <w:rPr>
          <w:color w:val="000000"/>
          <w:sz w:val="22"/>
          <w:szCs w:val="22"/>
        </w:rPr>
      </w:pPr>
      <w:r w:rsidRPr="005E6657">
        <w:rPr>
          <w:color w:val="000000"/>
          <w:sz w:val="22"/>
          <w:szCs w:val="22"/>
        </w:rPr>
        <w:t xml:space="preserve">The average annual turnover of the tenderer in the past </w:t>
      </w:r>
      <w:r w:rsidRPr="005E6657">
        <w:rPr>
          <w:color w:val="000000"/>
          <w:sz w:val="22"/>
          <w:szCs w:val="22"/>
          <w:lang w:val="hr-HR"/>
        </w:rPr>
        <w:t>three</w:t>
      </w:r>
      <w:r w:rsidRPr="005E6657">
        <w:rPr>
          <w:color w:val="000000"/>
          <w:sz w:val="22"/>
          <w:szCs w:val="22"/>
        </w:rPr>
        <w:t xml:space="preserve"> (</w:t>
      </w:r>
      <w:r w:rsidRPr="005E6657">
        <w:rPr>
          <w:color w:val="000000"/>
          <w:sz w:val="22"/>
          <w:szCs w:val="22"/>
          <w:lang w:val="hr-HR"/>
        </w:rPr>
        <w:t>3</w:t>
      </w:r>
      <w:r w:rsidRPr="005E6657">
        <w:rPr>
          <w:color w:val="000000"/>
          <w:sz w:val="22"/>
          <w:szCs w:val="22"/>
        </w:rPr>
        <w:t xml:space="preserve">) years (for which accounts have been closed) must be at least EUR </w:t>
      </w:r>
      <w:r w:rsidR="005E6657" w:rsidRPr="005E6657">
        <w:rPr>
          <w:color w:val="000000"/>
          <w:sz w:val="22"/>
          <w:szCs w:val="22"/>
          <w:lang w:val="hr-HR"/>
        </w:rPr>
        <w:t>120</w:t>
      </w:r>
      <w:r w:rsidRPr="005E6657">
        <w:rPr>
          <w:color w:val="000000"/>
          <w:sz w:val="22"/>
          <w:szCs w:val="22"/>
        </w:rPr>
        <w:t>,000.00.</w:t>
      </w:r>
    </w:p>
    <w:p w14:paraId="7D4757BC" w14:textId="2F37678D" w:rsidR="00EC0FAC" w:rsidRPr="005E6657" w:rsidRDefault="00EC0FAC" w:rsidP="00826305">
      <w:pPr>
        <w:pStyle w:val="NormalWeb"/>
        <w:ind w:left="709"/>
        <w:rPr>
          <w:color w:val="000000"/>
          <w:sz w:val="22"/>
          <w:szCs w:val="22"/>
        </w:rPr>
      </w:pPr>
      <w:r w:rsidRPr="005E6657">
        <w:rPr>
          <w:rStyle w:val="Strong"/>
          <w:color w:val="000000"/>
          <w:sz w:val="22"/>
          <w:szCs w:val="22"/>
        </w:rPr>
        <w:t>Technical and professional capacity of the candidate:</w:t>
      </w:r>
    </w:p>
    <w:p w14:paraId="34FDD18A" w14:textId="7AC3BE34" w:rsidR="00EC0FAC" w:rsidRPr="005E6657" w:rsidRDefault="00EC0FAC" w:rsidP="002E349E">
      <w:pPr>
        <w:pStyle w:val="NormalWeb"/>
        <w:numPr>
          <w:ilvl w:val="0"/>
          <w:numId w:val="8"/>
        </w:numPr>
        <w:ind w:left="709"/>
        <w:jc w:val="both"/>
        <w:rPr>
          <w:color w:val="000000"/>
          <w:sz w:val="22"/>
          <w:szCs w:val="22"/>
        </w:rPr>
      </w:pPr>
      <w:r w:rsidRPr="005E6657">
        <w:rPr>
          <w:color w:val="000000"/>
          <w:sz w:val="22"/>
          <w:szCs w:val="22"/>
        </w:rPr>
        <w:t xml:space="preserve">The tenderer must have successfully completed, as prime </w:t>
      </w:r>
      <w:r w:rsidR="00F914C9">
        <w:rPr>
          <w:color w:val="000000"/>
          <w:sz w:val="22"/>
          <w:szCs w:val="22"/>
        </w:rPr>
        <w:t>supplier</w:t>
      </w:r>
      <w:r w:rsidRPr="005E6657">
        <w:rPr>
          <w:color w:val="000000"/>
          <w:sz w:val="22"/>
          <w:szCs w:val="22"/>
        </w:rPr>
        <w:t>, within the last five (5) years (</w:t>
      </w:r>
      <w:r w:rsidRPr="005E6657">
        <w:rPr>
          <w:color w:val="000000"/>
          <w:sz w:val="22"/>
          <w:szCs w:val="22"/>
          <w:lang w:val="hr-HR"/>
        </w:rPr>
        <w:t>29</w:t>
      </w:r>
      <w:r w:rsidRPr="005E6657">
        <w:rPr>
          <w:color w:val="000000"/>
          <w:sz w:val="22"/>
          <w:szCs w:val="22"/>
        </w:rPr>
        <w:t>/</w:t>
      </w:r>
      <w:r w:rsidRPr="005E6657">
        <w:rPr>
          <w:color w:val="000000"/>
          <w:sz w:val="22"/>
          <w:szCs w:val="22"/>
          <w:lang w:val="hr-HR"/>
        </w:rPr>
        <w:t>09</w:t>
      </w:r>
      <w:r w:rsidRPr="005E6657">
        <w:rPr>
          <w:color w:val="000000"/>
          <w:sz w:val="22"/>
          <w:szCs w:val="22"/>
        </w:rPr>
        <w:t xml:space="preserve">/2020 – </w:t>
      </w:r>
      <w:r w:rsidRPr="005E6657">
        <w:rPr>
          <w:color w:val="000000"/>
          <w:sz w:val="22"/>
          <w:szCs w:val="22"/>
          <w:lang w:val="hr-HR"/>
        </w:rPr>
        <w:t>29</w:t>
      </w:r>
      <w:r w:rsidRPr="005E6657">
        <w:rPr>
          <w:color w:val="000000"/>
          <w:sz w:val="22"/>
          <w:szCs w:val="22"/>
        </w:rPr>
        <w:t>/0</w:t>
      </w:r>
      <w:r w:rsidRPr="005E6657">
        <w:rPr>
          <w:color w:val="000000"/>
          <w:sz w:val="22"/>
          <w:szCs w:val="22"/>
          <w:lang w:val="hr-HR"/>
        </w:rPr>
        <w:t>8</w:t>
      </w:r>
      <w:r w:rsidRPr="005E6657">
        <w:rPr>
          <w:color w:val="000000"/>
          <w:sz w:val="22"/>
          <w:szCs w:val="22"/>
        </w:rPr>
        <w:t xml:space="preserve">/2025), at least one (1) contract of similar complexity with a value of at least EUR </w:t>
      </w:r>
      <w:r w:rsidR="005E6657" w:rsidRPr="005E6657">
        <w:rPr>
          <w:color w:val="000000"/>
          <w:sz w:val="22"/>
          <w:szCs w:val="22"/>
          <w:lang w:val="hr-HR"/>
        </w:rPr>
        <w:t>100</w:t>
      </w:r>
      <w:r w:rsidRPr="005E6657">
        <w:rPr>
          <w:color w:val="000000"/>
          <w:sz w:val="22"/>
          <w:szCs w:val="22"/>
        </w:rPr>
        <w:t>,000.00.</w:t>
      </w:r>
    </w:p>
    <w:p w14:paraId="085C79EC" w14:textId="5E806579" w:rsidR="00EC0FAC" w:rsidRPr="005E6657" w:rsidRDefault="00EC0FAC" w:rsidP="002E349E">
      <w:pPr>
        <w:pStyle w:val="NormalWeb"/>
        <w:numPr>
          <w:ilvl w:val="0"/>
          <w:numId w:val="8"/>
        </w:numPr>
        <w:ind w:left="709"/>
        <w:jc w:val="both"/>
        <w:rPr>
          <w:color w:val="000000"/>
          <w:sz w:val="22"/>
          <w:szCs w:val="22"/>
        </w:rPr>
      </w:pPr>
      <w:r w:rsidRPr="005E6657">
        <w:rPr>
          <w:color w:val="000000"/>
          <w:sz w:val="22"/>
          <w:szCs w:val="22"/>
        </w:rPr>
        <w:t>The tenderer must be a registered company capable of carrying out the specifi</w:t>
      </w:r>
      <w:r w:rsidR="00165899">
        <w:rPr>
          <w:color w:val="000000"/>
          <w:sz w:val="22"/>
          <w:szCs w:val="22"/>
        </w:rPr>
        <w:t>c</w:t>
      </w:r>
      <w:r w:rsidRPr="005E6657">
        <w:rPr>
          <w:color w:val="000000"/>
          <w:sz w:val="22"/>
          <w:szCs w:val="22"/>
        </w:rPr>
        <w:t>. In case of a consortium, this requirement applies to all members of the consortium. At the time of tender submission, the tenderer shall possess the relevant professional licence(s), certificate(s), or equivalent right, in accordance with the laws of the country in which it is established, for the execution of construction works. For the purpose of tender evaluation, legal requirements must be respected by every consortium member, while it is sufficient that at least one member holds the required professional licence.</w:t>
      </w:r>
    </w:p>
    <w:p w14:paraId="01C24272" w14:textId="77777777" w:rsidR="002E349E" w:rsidRDefault="00EC0FAC" w:rsidP="002E349E">
      <w:pPr>
        <w:pStyle w:val="NormalWeb"/>
        <w:ind w:left="709"/>
        <w:jc w:val="both"/>
        <w:rPr>
          <w:rStyle w:val="Strong"/>
          <w:color w:val="000000"/>
          <w:sz w:val="22"/>
          <w:szCs w:val="22"/>
        </w:rPr>
      </w:pPr>
      <w:r w:rsidRPr="005E6657">
        <w:rPr>
          <w:rStyle w:val="Strong"/>
          <w:color w:val="000000"/>
          <w:sz w:val="22"/>
          <w:szCs w:val="22"/>
        </w:rPr>
        <w:lastRenderedPageBreak/>
        <w:t>Capacity-providing entities:</w:t>
      </w:r>
    </w:p>
    <w:p w14:paraId="492931C2" w14:textId="687DD2B1" w:rsidR="00EC0FAC" w:rsidRPr="002E349E" w:rsidRDefault="00EC0FAC" w:rsidP="002E349E">
      <w:pPr>
        <w:pStyle w:val="NormalWeb"/>
        <w:ind w:left="709"/>
        <w:jc w:val="both"/>
        <w:rPr>
          <w:b/>
          <w:bCs/>
          <w:color w:val="000000"/>
          <w:sz w:val="22"/>
          <w:szCs w:val="22"/>
        </w:rPr>
      </w:pPr>
      <w:r w:rsidRPr="005E6657">
        <w:rPr>
          <w:color w:val="000000"/>
          <w:sz w:val="22"/>
          <w:szCs w:val="22"/>
        </w:rPr>
        <w:t>An economic operator may, where appropriate and for a particular contract, rely on the capacities of other entities, regardless of the legal nature of the links it has with them. If the tenderer relies on other entities, it must prove to the contracting authority that it will have at its disposal the resources necessary for the performance of the contract by producing a commitment from those entities to place such resources at its disposal.</w:t>
      </w:r>
    </w:p>
    <w:p w14:paraId="4C66ABAE" w14:textId="77777777" w:rsidR="00EC0FAC" w:rsidRPr="005E6657" w:rsidRDefault="00EC0FAC" w:rsidP="002E349E">
      <w:pPr>
        <w:pStyle w:val="NormalWeb"/>
        <w:ind w:left="709"/>
        <w:jc w:val="both"/>
        <w:rPr>
          <w:color w:val="000000"/>
          <w:sz w:val="22"/>
          <w:szCs w:val="22"/>
        </w:rPr>
      </w:pPr>
      <w:r w:rsidRPr="005E6657">
        <w:rPr>
          <w:color w:val="000000"/>
          <w:sz w:val="22"/>
          <w:szCs w:val="22"/>
        </w:rPr>
        <w:t>Such entities (e.g., the parent company of the economic operator) must comply with the same rules of eligibility, including nationality, as the economic operator relying on them, and must fulfil the selection criteria for which the economic operator relies on them. Furthermore, the data for these third entities must not be included in the tender forms but in a separate document. Proof of capacity must be provided at the request of the contracting authority.</w:t>
      </w:r>
    </w:p>
    <w:p w14:paraId="19D501A3" w14:textId="1BE4B450" w:rsidR="00EC0FAC" w:rsidRPr="005E6657" w:rsidRDefault="00EC0FAC" w:rsidP="002E349E">
      <w:pPr>
        <w:pStyle w:val="NormalWeb"/>
        <w:ind w:left="709"/>
        <w:jc w:val="both"/>
        <w:rPr>
          <w:color w:val="000000"/>
          <w:sz w:val="22"/>
          <w:szCs w:val="22"/>
        </w:rPr>
      </w:pPr>
      <w:r w:rsidRPr="005E6657">
        <w:rPr>
          <w:color w:val="000000"/>
          <w:sz w:val="22"/>
          <w:szCs w:val="22"/>
        </w:rPr>
        <w:t xml:space="preserve">With regard to technical and professional criteria, a tenderer may rely on the capacities of other entities only if those entities will perform the </w:t>
      </w:r>
      <w:r w:rsidR="002E349E">
        <w:rPr>
          <w:color w:val="000000"/>
          <w:sz w:val="22"/>
          <w:szCs w:val="22"/>
        </w:rPr>
        <w:t xml:space="preserve">delivery of the equipment and installation </w:t>
      </w:r>
      <w:r w:rsidRPr="005E6657">
        <w:rPr>
          <w:color w:val="000000"/>
          <w:sz w:val="22"/>
          <w:szCs w:val="22"/>
        </w:rPr>
        <w:t>for which these capacities are required.</w:t>
      </w:r>
    </w:p>
    <w:p w14:paraId="1BAC9260" w14:textId="77777777" w:rsidR="00EC0FAC" w:rsidRPr="005E6657" w:rsidRDefault="00EC0FAC" w:rsidP="002E349E">
      <w:pPr>
        <w:pStyle w:val="NormalWeb"/>
        <w:ind w:left="709"/>
        <w:jc w:val="both"/>
        <w:rPr>
          <w:color w:val="000000"/>
          <w:sz w:val="22"/>
          <w:szCs w:val="22"/>
        </w:rPr>
      </w:pPr>
      <w:r w:rsidRPr="005E6657">
        <w:rPr>
          <w:color w:val="000000"/>
          <w:sz w:val="22"/>
          <w:szCs w:val="22"/>
        </w:rPr>
        <w:t>With regard to economic and financial criteria, the entities on whose capacity the tenderer relies become jointly and severally liable for the performance of the contract.</w:t>
      </w:r>
    </w:p>
    <w:p w14:paraId="46781D47" w14:textId="4E571695" w:rsidR="00EC0FAC" w:rsidRPr="005E6657" w:rsidRDefault="00EC0FAC" w:rsidP="002E349E">
      <w:pPr>
        <w:pStyle w:val="NormalWeb"/>
        <w:ind w:left="709"/>
        <w:jc w:val="both"/>
        <w:rPr>
          <w:color w:val="000000"/>
          <w:sz w:val="22"/>
          <w:szCs w:val="22"/>
          <w:lang w:val="hr-HR"/>
        </w:rPr>
      </w:pPr>
      <w:r w:rsidRPr="005E6657">
        <w:rPr>
          <w:color w:val="000000"/>
          <w:sz w:val="22"/>
          <w:szCs w:val="22"/>
        </w:rPr>
        <w:t xml:space="preserve">Financial data to be provided by the tenderer in relation to the selection criteria must be expressed in EUR. Where a candidate refers to amounts originally expressed in another currency, the conversion to EUR shall be made in accordance with the InforEuro exchange rate of </w:t>
      </w:r>
      <w:r w:rsidR="005E6657" w:rsidRPr="005E6657">
        <w:rPr>
          <w:color w:val="000000"/>
          <w:sz w:val="22"/>
          <w:szCs w:val="22"/>
          <w:lang w:val="hr-HR"/>
        </w:rPr>
        <w:t>November</w:t>
      </w:r>
      <w:r w:rsidRPr="005E6657">
        <w:rPr>
          <w:color w:val="000000"/>
          <w:sz w:val="22"/>
          <w:szCs w:val="22"/>
        </w:rPr>
        <w:t xml:space="preserve"> 2025</w:t>
      </w:r>
      <w:r w:rsidR="00826305" w:rsidRPr="005E6657">
        <w:rPr>
          <w:color w:val="000000"/>
          <w:sz w:val="22"/>
          <w:szCs w:val="22"/>
          <w:lang w:val="hr-HR"/>
        </w:rPr>
        <w:t>.</w:t>
      </w:r>
    </w:p>
    <w:p w14:paraId="281E8D52" w14:textId="77777777" w:rsidR="007560A9" w:rsidRPr="005E6657" w:rsidRDefault="00844BF7">
      <w:pPr>
        <w:numPr>
          <w:ilvl w:val="0"/>
          <w:numId w:val="3"/>
        </w:numPr>
        <w:pBdr>
          <w:top w:val="nil"/>
          <w:left w:val="nil"/>
          <w:bottom w:val="nil"/>
          <w:right w:val="nil"/>
          <w:between w:val="nil"/>
        </w:pBdr>
        <w:rPr>
          <w:color w:val="000000"/>
          <w:sz w:val="22"/>
          <w:szCs w:val="22"/>
        </w:rPr>
      </w:pPr>
      <w:r w:rsidRPr="005E6657">
        <w:rPr>
          <w:b/>
          <w:color w:val="000000"/>
          <w:sz w:val="22"/>
          <w:szCs w:val="22"/>
        </w:rPr>
        <w:t>Award criteria</w:t>
      </w:r>
    </w:p>
    <w:p w14:paraId="422C3E58" w14:textId="62CDA254" w:rsidR="007560A9" w:rsidRPr="005E6657" w:rsidRDefault="00F3048C">
      <w:pPr>
        <w:widowControl/>
        <w:spacing w:before="0" w:after="120"/>
        <w:ind w:left="720"/>
        <w:jc w:val="both"/>
        <w:rPr>
          <w:sz w:val="22"/>
          <w:szCs w:val="22"/>
        </w:rPr>
      </w:pPr>
      <w:r w:rsidRPr="005E6657">
        <w:rPr>
          <w:sz w:val="22"/>
          <w:szCs w:val="22"/>
        </w:rPr>
        <w:t>The contract will be awarded to the </w:t>
      </w:r>
      <w:r w:rsidRPr="005E6657">
        <w:rPr>
          <w:b/>
          <w:bCs/>
          <w:sz w:val="22"/>
          <w:szCs w:val="22"/>
        </w:rPr>
        <w:t>lowest priced</w:t>
      </w:r>
      <w:r w:rsidRPr="005E6657">
        <w:rPr>
          <w:sz w:val="22"/>
          <w:szCs w:val="22"/>
        </w:rPr>
        <w:t> tender that is </w:t>
      </w:r>
      <w:r w:rsidRPr="005E6657">
        <w:rPr>
          <w:b/>
          <w:bCs/>
          <w:sz w:val="22"/>
          <w:szCs w:val="22"/>
        </w:rPr>
        <w:t>technically compliant</w:t>
      </w:r>
      <w:r w:rsidRPr="005E6657">
        <w:rPr>
          <w:sz w:val="22"/>
          <w:szCs w:val="22"/>
        </w:rPr>
        <w:t> with the tender specifications. In other words, the most economically advantageous offer is the technically compliant tender with the lowest price. </w:t>
      </w:r>
      <w:r w:rsidRPr="005E6657">
        <w:rPr>
          <w:i/>
          <w:iCs/>
          <w:sz w:val="22"/>
          <w:szCs w:val="22"/>
        </w:rPr>
        <w:t>(No other award criteria will be used.)</w:t>
      </w:r>
    </w:p>
    <w:p w14:paraId="36609A86" w14:textId="77777777" w:rsidR="007560A9" w:rsidRPr="005E6657" w:rsidRDefault="00844BF7">
      <w:pPr>
        <w:rPr>
          <w:sz w:val="22"/>
          <w:szCs w:val="22"/>
        </w:rPr>
      </w:pPr>
      <w:r w:rsidRPr="005E6657">
        <w:rPr>
          <w:noProof/>
          <w:sz w:val="22"/>
          <w:szCs w:val="22"/>
          <w:lang w:val="en-US"/>
        </w:rPr>
        <mc:AlternateContent>
          <mc:Choice Requires="wps">
            <w:drawing>
              <wp:anchor distT="0" distB="0" distL="114300" distR="114300" simplePos="0" relativeHeight="251662336" behindDoc="0" locked="0" layoutInCell="1" hidden="0" allowOverlap="1" wp14:anchorId="7706E3BC" wp14:editId="5E5B8813">
                <wp:simplePos x="0" y="0"/>
                <wp:positionH relativeFrom="margin">
                  <wp:posOffset>114300</wp:posOffset>
                </wp:positionH>
                <wp:positionV relativeFrom="paragraph">
                  <wp:posOffset>139700</wp:posOffset>
                </wp:positionV>
                <wp:extent cx="5943600" cy="22225"/>
                <wp:effectExtent l="0" t="0" r="0" b="0"/>
                <wp:wrapNone/>
                <wp:docPr id="1" name="Straight Arrow Connector 1"/>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xmlns:w16du="http://schemas.microsoft.com/office/word/2023/wordml/word16du" xmlns:w16sdtfl="http://schemas.microsoft.com/office/word/2024/wordml/sdtformatlock">
            <w:pict>
              <v:shape w14:anchorId="64978CB8" id="Straight Arrow Connector 1" o:spid="_x0000_s1026" type="#_x0000_t32" style="position:absolute;margin-left:9pt;margin-top:11pt;width:468pt;height:1.75pt;z-index:2516623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y7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" filled="t" strokecolor="#d4d4d4" strokeweight="1.75pt">
                <v:stroke joinstyle="miter"/>
                <w10:wrap anchorx="margin"/>
              </v:shape>
            </w:pict>
          </mc:Fallback>
        </mc:AlternateContent>
      </w:r>
    </w:p>
    <w:p w14:paraId="06537D76" w14:textId="77777777" w:rsidR="00826305" w:rsidRPr="005E6657" w:rsidRDefault="00826305">
      <w:pPr>
        <w:ind w:left="360"/>
        <w:jc w:val="center"/>
        <w:rPr>
          <w:b/>
          <w:sz w:val="22"/>
          <w:szCs w:val="22"/>
        </w:rPr>
      </w:pPr>
    </w:p>
    <w:p w14:paraId="67C69BB3" w14:textId="77777777" w:rsidR="00F53C00" w:rsidRDefault="00F53C00">
      <w:pPr>
        <w:ind w:left="360"/>
        <w:jc w:val="center"/>
        <w:rPr>
          <w:b/>
          <w:sz w:val="22"/>
          <w:szCs w:val="22"/>
        </w:rPr>
      </w:pPr>
    </w:p>
    <w:p w14:paraId="1DE2C0C0" w14:textId="77777777" w:rsidR="00F53C00" w:rsidRDefault="00F53C00">
      <w:pPr>
        <w:ind w:left="360"/>
        <w:jc w:val="center"/>
        <w:rPr>
          <w:b/>
          <w:sz w:val="22"/>
          <w:szCs w:val="22"/>
        </w:rPr>
      </w:pPr>
    </w:p>
    <w:p w14:paraId="3314D761" w14:textId="49500529" w:rsidR="007560A9" w:rsidRPr="005E6657" w:rsidRDefault="00844BF7">
      <w:pPr>
        <w:ind w:left="360"/>
        <w:jc w:val="center"/>
        <w:rPr>
          <w:b/>
          <w:sz w:val="22"/>
          <w:szCs w:val="22"/>
        </w:rPr>
      </w:pPr>
      <w:r w:rsidRPr="005E6657">
        <w:rPr>
          <w:b/>
          <w:sz w:val="22"/>
          <w:szCs w:val="22"/>
        </w:rPr>
        <w:t>TENDERING</w:t>
      </w:r>
    </w:p>
    <w:p w14:paraId="55CD9D68" w14:textId="77777777" w:rsidR="00826305" w:rsidRPr="005E6657" w:rsidRDefault="00826305">
      <w:pPr>
        <w:ind w:left="360"/>
        <w:jc w:val="center"/>
        <w:rPr>
          <w:b/>
          <w:sz w:val="22"/>
          <w:szCs w:val="22"/>
        </w:rPr>
      </w:pPr>
    </w:p>
    <w:p w14:paraId="053BDA60" w14:textId="77777777" w:rsidR="00EC0FAC" w:rsidRPr="005E6657" w:rsidRDefault="00EC0FAC" w:rsidP="00EC0FAC">
      <w:pPr>
        <w:keepNext/>
        <w:outlineLvl w:val="0"/>
        <w:rPr>
          <w:sz w:val="22"/>
          <w:szCs w:val="22"/>
        </w:rPr>
      </w:pPr>
      <w:r w:rsidRPr="005E6657">
        <w:rPr>
          <w:rStyle w:val="Strong"/>
          <w:sz w:val="22"/>
          <w:szCs w:val="22"/>
        </w:rPr>
        <w:t xml:space="preserve">18. </w:t>
      </w:r>
      <w:r w:rsidRPr="005E6657">
        <w:rPr>
          <w:rStyle w:val="Strong"/>
          <w:sz w:val="22"/>
          <w:szCs w:val="22"/>
        </w:rPr>
        <w:tab/>
        <w:t>Deadline for receipt of tenders</w:t>
      </w:r>
    </w:p>
    <w:p w14:paraId="6B233BB0" w14:textId="57825E16" w:rsidR="00EC0FAC" w:rsidRPr="005E6657" w:rsidRDefault="00EC0FAC" w:rsidP="00EC0FAC">
      <w:pPr>
        <w:pStyle w:val="Blockquote"/>
        <w:ind w:left="0" w:firstLine="720"/>
        <w:jc w:val="both"/>
        <w:rPr>
          <w:sz w:val="22"/>
          <w:szCs w:val="22"/>
          <w:lang w:val="en-GB"/>
        </w:rPr>
      </w:pPr>
      <w:r w:rsidRPr="005E6657">
        <w:rPr>
          <w:rStyle w:val="Emphasis"/>
          <w:i w:val="0"/>
          <w:iCs w:val="0"/>
          <w:sz w:val="22"/>
          <w:szCs w:val="22"/>
          <w:lang w:val="en-GB"/>
        </w:rPr>
        <w:t>The deadline for receipt of tenders is specified in point 8 of the instruction to tenderers.</w:t>
      </w:r>
      <w:r w:rsidRPr="005E6657" w:rsidDel="00994EA3">
        <w:rPr>
          <w:rStyle w:val="Emphasis"/>
          <w:i w:val="0"/>
          <w:iCs w:val="0"/>
          <w:sz w:val="22"/>
          <w:szCs w:val="22"/>
          <w:highlight w:val="yellow"/>
          <w:lang w:val="en-GB"/>
        </w:rPr>
        <w:t xml:space="preserve">    </w:t>
      </w:r>
    </w:p>
    <w:p w14:paraId="6CA6A509" w14:textId="77777777" w:rsidR="00EC0FAC" w:rsidRPr="005E6657" w:rsidRDefault="00EC0FAC" w:rsidP="00EC0FAC">
      <w:pPr>
        <w:outlineLvl w:val="0"/>
        <w:rPr>
          <w:sz w:val="22"/>
          <w:szCs w:val="22"/>
        </w:rPr>
      </w:pPr>
      <w:r w:rsidRPr="005E6657">
        <w:rPr>
          <w:rStyle w:val="Strong"/>
          <w:sz w:val="22"/>
          <w:szCs w:val="22"/>
        </w:rPr>
        <w:t xml:space="preserve">19. </w:t>
      </w:r>
      <w:r w:rsidRPr="005E6657">
        <w:rPr>
          <w:rStyle w:val="Strong"/>
          <w:sz w:val="22"/>
          <w:szCs w:val="22"/>
        </w:rPr>
        <w:tab/>
        <w:t>Tender format and details to be provided</w:t>
      </w:r>
    </w:p>
    <w:p w14:paraId="50163AE3" w14:textId="68C69F93" w:rsidR="00EC0FAC" w:rsidRPr="005E6657" w:rsidRDefault="00EC0FAC" w:rsidP="00EC0FAC">
      <w:pPr>
        <w:pStyle w:val="Blockquote"/>
        <w:ind w:left="709"/>
        <w:jc w:val="both"/>
        <w:rPr>
          <w:sz w:val="22"/>
          <w:szCs w:val="22"/>
          <w:lang w:val="en-GB"/>
        </w:rPr>
      </w:pPr>
      <w:r w:rsidRPr="005E6657">
        <w:rPr>
          <w:rStyle w:val="Strong"/>
          <w:sz w:val="22"/>
          <w:szCs w:val="22"/>
          <w:lang w:val="en-GB"/>
        </w:rPr>
        <w:t>Tenders must be submitted using the standard tender form</w:t>
      </w:r>
      <w:r w:rsidRPr="005E6657">
        <w:rPr>
          <w:sz w:val="22"/>
          <w:szCs w:val="22"/>
          <w:lang w:val="en-GB"/>
        </w:rPr>
        <w:t xml:space="preserve"> for </w:t>
      </w:r>
      <w:r w:rsidR="002E349E">
        <w:rPr>
          <w:sz w:val="22"/>
          <w:szCs w:val="22"/>
          <w:lang w:val="en-GB"/>
        </w:rPr>
        <w:t>the local open</w:t>
      </w:r>
      <w:r w:rsidRPr="005E6657">
        <w:rPr>
          <w:sz w:val="22"/>
          <w:szCs w:val="22"/>
          <w:lang w:val="en-GB"/>
        </w:rPr>
        <w:t xml:space="preserve"> procedures, the format and instructions of which must be strictly observed. The tender form is available in the Tender Dossier. </w:t>
      </w:r>
    </w:p>
    <w:p w14:paraId="0064317F" w14:textId="378ADAA3" w:rsidR="00EC0FAC" w:rsidRPr="005E6657" w:rsidRDefault="00EC0FAC" w:rsidP="00EC0FAC">
      <w:pPr>
        <w:pStyle w:val="Blockquote"/>
        <w:ind w:left="709"/>
        <w:jc w:val="both"/>
        <w:rPr>
          <w:sz w:val="22"/>
          <w:szCs w:val="22"/>
          <w:lang w:val="en-GB"/>
        </w:rPr>
      </w:pPr>
      <w:r w:rsidRPr="005E6657">
        <w:rPr>
          <w:sz w:val="22"/>
          <w:szCs w:val="22"/>
          <w:lang w:val="en-GB"/>
        </w:rPr>
        <w:t xml:space="preserve">The tender must be accompanied by a declaration on honour on exclusion and selection criteria using the template available in the Tender Dossier. </w:t>
      </w:r>
    </w:p>
    <w:p w14:paraId="18D1E1B1" w14:textId="77777777" w:rsidR="00E40053" w:rsidRPr="005E6657" w:rsidRDefault="00EC0FAC" w:rsidP="00E40053">
      <w:pPr>
        <w:pStyle w:val="Blockquote"/>
        <w:ind w:left="709"/>
        <w:jc w:val="both"/>
        <w:rPr>
          <w:sz w:val="22"/>
          <w:szCs w:val="22"/>
          <w:lang w:val="en-GB"/>
        </w:rPr>
      </w:pPr>
      <w:r w:rsidRPr="005E6657">
        <w:rPr>
          <w:sz w:val="22"/>
          <w:szCs w:val="22"/>
          <w:lang w:val="en-GB"/>
        </w:rPr>
        <w:lastRenderedPageBreak/>
        <w:t>Any additional documentation (brochure, letter, etc.) sent with a tender will not be taken into consideration.</w:t>
      </w:r>
    </w:p>
    <w:p w14:paraId="73826B8A" w14:textId="6D3ED1C0" w:rsidR="00EC0FAC" w:rsidRPr="005E6657" w:rsidRDefault="00EC0FAC" w:rsidP="002E349E">
      <w:pPr>
        <w:pBdr>
          <w:top w:val="nil"/>
          <w:left w:val="nil"/>
          <w:bottom w:val="nil"/>
          <w:right w:val="nil"/>
          <w:between w:val="nil"/>
        </w:pBdr>
        <w:ind w:left="709"/>
        <w:jc w:val="both"/>
        <w:rPr>
          <w:sz w:val="22"/>
          <w:szCs w:val="22"/>
        </w:rPr>
      </w:pPr>
      <w:r w:rsidRPr="005E6657">
        <w:rPr>
          <w:sz w:val="22"/>
          <w:szCs w:val="22"/>
        </w:rPr>
        <w:t>Tenders will be opened in a public session on </w:t>
      </w:r>
      <w:r w:rsidR="00165899">
        <w:rPr>
          <w:b/>
          <w:bCs/>
          <w:sz w:val="22"/>
          <w:szCs w:val="22"/>
        </w:rPr>
        <w:t>24</w:t>
      </w:r>
      <w:r w:rsidRPr="005E6657">
        <w:rPr>
          <w:b/>
          <w:bCs/>
          <w:sz w:val="22"/>
          <w:szCs w:val="22"/>
        </w:rPr>
        <w:t xml:space="preserve"> </w:t>
      </w:r>
      <w:r w:rsidR="005E6657" w:rsidRPr="005E6657">
        <w:rPr>
          <w:b/>
          <w:bCs/>
          <w:sz w:val="22"/>
          <w:szCs w:val="22"/>
        </w:rPr>
        <w:t>December</w:t>
      </w:r>
      <w:r w:rsidRPr="005E6657">
        <w:rPr>
          <w:b/>
          <w:bCs/>
          <w:sz w:val="22"/>
          <w:szCs w:val="22"/>
        </w:rPr>
        <w:t xml:space="preserve"> 2025 at 14:</w:t>
      </w:r>
      <w:r w:rsidR="005E6657" w:rsidRPr="005E6657">
        <w:rPr>
          <w:b/>
          <w:bCs/>
          <w:sz w:val="22"/>
          <w:szCs w:val="22"/>
        </w:rPr>
        <w:t>2</w:t>
      </w:r>
      <w:r w:rsidRPr="005E6657">
        <w:rPr>
          <w:b/>
          <w:bCs/>
          <w:sz w:val="22"/>
          <w:szCs w:val="22"/>
        </w:rPr>
        <w:t>5 hours</w:t>
      </w:r>
      <w:r w:rsidRPr="005E6657">
        <w:rPr>
          <w:sz w:val="22"/>
          <w:szCs w:val="22"/>
        </w:rPr>
        <w:t>, at the premises of the Contracting Authority (address as above). One representative of each tenderer may attend the opening session, which will be conducted in line with the tender dossier rules. Minutes of the opening will be distributed upon request.</w:t>
      </w:r>
    </w:p>
    <w:p w14:paraId="64AA333E" w14:textId="11EDCC3D" w:rsidR="007560A9" w:rsidRPr="005E6657" w:rsidRDefault="00844BF7" w:rsidP="00E40053">
      <w:pPr>
        <w:pStyle w:val="ListParagraph"/>
        <w:numPr>
          <w:ilvl w:val="1"/>
          <w:numId w:val="7"/>
        </w:numPr>
        <w:pBdr>
          <w:top w:val="nil"/>
          <w:left w:val="nil"/>
          <w:bottom w:val="nil"/>
          <w:right w:val="nil"/>
          <w:between w:val="nil"/>
        </w:pBdr>
        <w:ind w:left="0" w:firstLine="0"/>
        <w:rPr>
          <w:color w:val="000000"/>
          <w:sz w:val="22"/>
          <w:szCs w:val="22"/>
        </w:rPr>
      </w:pPr>
      <w:r w:rsidRPr="005E6657">
        <w:rPr>
          <w:b/>
          <w:color w:val="000000"/>
          <w:sz w:val="22"/>
          <w:szCs w:val="22"/>
        </w:rPr>
        <w:t>Language of the procedure</w:t>
      </w:r>
    </w:p>
    <w:p w14:paraId="707CC343" w14:textId="725A4C55" w:rsidR="007560A9" w:rsidRPr="005E6657" w:rsidRDefault="00844BF7" w:rsidP="00E40053">
      <w:pPr>
        <w:ind w:left="720"/>
        <w:rPr>
          <w:sz w:val="22"/>
          <w:szCs w:val="22"/>
        </w:rPr>
      </w:pPr>
      <w:r w:rsidRPr="005E6657">
        <w:rPr>
          <w:sz w:val="22"/>
          <w:szCs w:val="22"/>
        </w:rPr>
        <w:t>All written communications for this tender procedure and contract must be in English</w:t>
      </w:r>
      <w:r w:rsidR="005434FB" w:rsidRPr="005E6657">
        <w:rPr>
          <w:sz w:val="22"/>
          <w:szCs w:val="22"/>
        </w:rPr>
        <w:t xml:space="preserve"> and Latin letter only.</w:t>
      </w:r>
    </w:p>
    <w:p w14:paraId="243F0D0C" w14:textId="2AD0587B" w:rsidR="007560A9" w:rsidRPr="005E6657" w:rsidRDefault="00844BF7" w:rsidP="00E40053">
      <w:pPr>
        <w:pStyle w:val="ListParagraph"/>
        <w:keepNext/>
        <w:widowControl/>
        <w:numPr>
          <w:ilvl w:val="1"/>
          <w:numId w:val="7"/>
        </w:numPr>
        <w:pBdr>
          <w:top w:val="nil"/>
          <w:left w:val="nil"/>
          <w:bottom w:val="nil"/>
          <w:right w:val="nil"/>
          <w:between w:val="nil"/>
        </w:pBdr>
        <w:ind w:left="0" w:firstLine="0"/>
        <w:rPr>
          <w:color w:val="000000"/>
          <w:sz w:val="22"/>
          <w:szCs w:val="22"/>
        </w:rPr>
      </w:pPr>
      <w:r w:rsidRPr="005E6657">
        <w:rPr>
          <w:b/>
          <w:color w:val="000000"/>
          <w:sz w:val="22"/>
          <w:szCs w:val="22"/>
        </w:rPr>
        <w:t>Legal basis</w:t>
      </w:r>
      <w:r w:rsidRPr="005E6657">
        <w:rPr>
          <w:sz w:val="22"/>
          <w:szCs w:val="22"/>
          <w:vertAlign w:val="superscript"/>
        </w:rPr>
        <w:footnoteReference w:id="1"/>
      </w:r>
    </w:p>
    <w:p w14:paraId="747AF4A3" w14:textId="77777777" w:rsidR="00B76AC2" w:rsidRPr="005E6657" w:rsidRDefault="00B76AC2" w:rsidP="00B76AC2">
      <w:pPr>
        <w:ind w:left="709"/>
        <w:jc w:val="both"/>
        <w:rPr>
          <w:sz w:val="22"/>
          <w:szCs w:val="22"/>
        </w:rPr>
      </w:pPr>
      <w:r w:rsidRPr="005E6657">
        <w:rPr>
          <w:sz w:val="22"/>
          <w:szCs w:val="22"/>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1FBF9BD5" w14:textId="77777777" w:rsidR="00E519D2" w:rsidRPr="005E6657" w:rsidRDefault="00E519D2" w:rsidP="00B76AC2">
      <w:pPr>
        <w:ind w:left="709"/>
        <w:jc w:val="both"/>
        <w:rPr>
          <w:sz w:val="22"/>
          <w:szCs w:val="22"/>
        </w:rPr>
      </w:pPr>
      <w:r w:rsidRPr="005E6657">
        <w:rPr>
          <w:sz w:val="22"/>
          <w:szCs w:val="22"/>
        </w:rPr>
        <w:t>Regulation (EU, Euratom) 2024/2509 of the European Parliament and of the Council of 23 September 2024 on the financial rules applicable to the general budget of the Union (recast),</w:t>
      </w:r>
    </w:p>
    <w:p w14:paraId="781B83C7" w14:textId="69546FF1" w:rsidR="007560A9" w:rsidRPr="005E6657" w:rsidRDefault="00EC0FAC" w:rsidP="00E40053">
      <w:pPr>
        <w:spacing w:before="177"/>
        <w:ind w:firstLine="720"/>
        <w:rPr>
          <w:sz w:val="22"/>
          <w:szCs w:val="22"/>
        </w:rPr>
      </w:pPr>
      <w:r w:rsidRPr="005E6657">
        <w:rPr>
          <w:spacing w:val="-6"/>
          <w:sz w:val="22"/>
          <w:szCs w:val="22"/>
        </w:rPr>
        <w:t>INTERREG</w:t>
      </w:r>
      <w:r w:rsidRPr="005E6657">
        <w:rPr>
          <w:spacing w:val="8"/>
          <w:sz w:val="22"/>
          <w:szCs w:val="22"/>
        </w:rPr>
        <w:t xml:space="preserve"> </w:t>
      </w:r>
      <w:r w:rsidRPr="005E6657">
        <w:rPr>
          <w:spacing w:val="-6"/>
          <w:sz w:val="22"/>
          <w:szCs w:val="22"/>
        </w:rPr>
        <w:t>IPA</w:t>
      </w:r>
      <w:r w:rsidRPr="005E6657">
        <w:rPr>
          <w:spacing w:val="-4"/>
          <w:sz w:val="22"/>
          <w:szCs w:val="22"/>
        </w:rPr>
        <w:t xml:space="preserve"> </w:t>
      </w:r>
      <w:r w:rsidRPr="005E6657">
        <w:rPr>
          <w:spacing w:val="-6"/>
          <w:sz w:val="22"/>
          <w:szCs w:val="22"/>
        </w:rPr>
        <w:t>South</w:t>
      </w:r>
      <w:r w:rsidRPr="005E6657">
        <w:rPr>
          <w:spacing w:val="-4"/>
          <w:sz w:val="22"/>
          <w:szCs w:val="22"/>
        </w:rPr>
        <w:t xml:space="preserve"> </w:t>
      </w:r>
      <w:r w:rsidRPr="005E6657">
        <w:rPr>
          <w:spacing w:val="-6"/>
          <w:sz w:val="22"/>
          <w:szCs w:val="22"/>
        </w:rPr>
        <w:t>Adriatic</w:t>
      </w:r>
      <w:r w:rsidRPr="005E6657">
        <w:rPr>
          <w:spacing w:val="-2"/>
          <w:sz w:val="22"/>
          <w:szCs w:val="22"/>
        </w:rPr>
        <w:t xml:space="preserve"> </w:t>
      </w:r>
      <w:r w:rsidRPr="005E6657">
        <w:rPr>
          <w:spacing w:val="-6"/>
          <w:sz w:val="22"/>
          <w:szCs w:val="22"/>
        </w:rPr>
        <w:t>programme,</w:t>
      </w:r>
      <w:r w:rsidRPr="005E6657">
        <w:rPr>
          <w:spacing w:val="5"/>
          <w:sz w:val="22"/>
          <w:szCs w:val="22"/>
        </w:rPr>
        <w:t xml:space="preserve"> </w:t>
      </w:r>
      <w:r w:rsidRPr="005E6657">
        <w:rPr>
          <w:spacing w:val="-6"/>
          <w:sz w:val="22"/>
          <w:szCs w:val="22"/>
        </w:rPr>
        <w:t>2021-2027</w:t>
      </w:r>
    </w:p>
    <w:sectPr w:rsidR="007560A9" w:rsidRPr="005E6657" w:rsidSect="002E349E">
      <w:headerReference w:type="default" r:id="rId8"/>
      <w:footerReference w:type="default" r:id="rId9"/>
      <w:pgSz w:w="12240" w:h="15840"/>
      <w:pgMar w:top="1398" w:right="1440" w:bottom="1440" w:left="1440" w:header="1440" w:footer="61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99D3A" w14:textId="77777777" w:rsidR="00517B20" w:rsidRDefault="00517B20">
      <w:pPr>
        <w:spacing w:before="0" w:after="0"/>
      </w:pPr>
      <w:r>
        <w:separator/>
      </w:r>
    </w:p>
  </w:endnote>
  <w:endnote w:type="continuationSeparator" w:id="0">
    <w:p w14:paraId="76378A0A" w14:textId="77777777" w:rsidR="00517B20" w:rsidRDefault="00517B2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17AD6" w14:textId="51336FA5" w:rsidR="007560A9" w:rsidRDefault="00844BF7">
    <w:pPr>
      <w:pBdr>
        <w:top w:val="nil"/>
        <w:left w:val="nil"/>
        <w:bottom w:val="nil"/>
        <w:right w:val="nil"/>
        <w:between w:val="nil"/>
      </w:pBdr>
      <w:tabs>
        <w:tab w:val="right" w:pos="9356"/>
      </w:tabs>
      <w:spacing w:before="0" w:after="0"/>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BB1933">
      <w:rPr>
        <w:noProof/>
        <w:color w:val="000000"/>
        <w:sz w:val="18"/>
        <w:szCs w:val="18"/>
      </w:rPr>
      <w:t>7</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BB1933">
      <w:rPr>
        <w:noProof/>
        <w:color w:val="000000"/>
        <w:sz w:val="18"/>
        <w:szCs w:val="18"/>
      </w:rPr>
      <w:t>7</w:t>
    </w:r>
    <w:r>
      <w:rPr>
        <w:color w:val="000000"/>
        <w:sz w:val="18"/>
        <w:szCs w:val="18"/>
      </w:rPr>
      <w:fldChar w:fldCharType="end"/>
    </w:r>
  </w:p>
  <w:p w14:paraId="3A522395" w14:textId="77777777" w:rsidR="007560A9" w:rsidRDefault="007560A9">
    <w:pPr>
      <w:pBdr>
        <w:top w:val="nil"/>
        <w:left w:val="nil"/>
        <w:bottom w:val="nil"/>
        <w:right w:val="nil"/>
        <w:between w:val="nil"/>
      </w:pBdr>
      <w:tabs>
        <w:tab w:val="right" w:pos="9356"/>
      </w:tabs>
      <w:spacing w:before="0" w:after="0"/>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2B6C2" w14:textId="77777777" w:rsidR="00517B20" w:rsidRDefault="00517B20">
      <w:pPr>
        <w:spacing w:before="0" w:after="0"/>
      </w:pPr>
      <w:r>
        <w:separator/>
      </w:r>
    </w:p>
  </w:footnote>
  <w:footnote w:type="continuationSeparator" w:id="0">
    <w:p w14:paraId="4CDAA7A7" w14:textId="77777777" w:rsidR="00517B20" w:rsidRDefault="00517B20">
      <w:pPr>
        <w:spacing w:before="0" w:after="0"/>
      </w:pPr>
      <w:r>
        <w:continuationSeparator/>
      </w:r>
    </w:p>
  </w:footnote>
  <w:footnote w:id="1">
    <w:p w14:paraId="2AEE8758" w14:textId="77777777" w:rsidR="007560A9" w:rsidRDefault="00844BF7">
      <w:pPr>
        <w:pBdr>
          <w:top w:val="nil"/>
          <w:left w:val="nil"/>
          <w:bottom w:val="nil"/>
          <w:right w:val="nil"/>
          <w:between w:val="nil"/>
        </w:pBdr>
        <w:ind w:left="142" w:hanging="142"/>
        <w:rPr>
          <w:color w:val="000000"/>
          <w:sz w:val="20"/>
          <w:szCs w:val="20"/>
        </w:rPr>
      </w:pPr>
      <w:r>
        <w:rPr>
          <w:vertAlign w:val="superscript"/>
        </w:rPr>
        <w:footnoteRef/>
      </w:r>
      <w:r>
        <w:rPr>
          <w:color w:val="000000"/>
          <w:sz w:val="20"/>
          <w:szCs w:val="20"/>
        </w:rPr>
        <w:tab/>
        <w:t>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A9F72" w14:textId="2A703633" w:rsidR="00C12EAB" w:rsidRDefault="00371F95" w:rsidP="00C12EAB">
    <w:pPr>
      <w:rPr>
        <w:b/>
        <w:bCs/>
        <w:sz w:val="20"/>
        <w:szCs w:val="20"/>
      </w:rPr>
    </w:pPr>
    <w:r>
      <w:rPr>
        <w:b/>
        <w:bCs/>
        <w:noProof/>
        <w:sz w:val="20"/>
        <w:szCs w:val="20"/>
      </w:rPr>
      <w:drawing>
        <wp:anchor distT="0" distB="0" distL="114300" distR="114300" simplePos="0" relativeHeight="251659264" behindDoc="1" locked="0" layoutInCell="1" allowOverlap="1" wp14:anchorId="263241CF" wp14:editId="2DDC06F0">
          <wp:simplePos x="0" y="0"/>
          <wp:positionH relativeFrom="column">
            <wp:posOffset>-464936</wp:posOffset>
          </wp:positionH>
          <wp:positionV relativeFrom="paragraph">
            <wp:posOffset>-766561</wp:posOffset>
          </wp:positionV>
          <wp:extent cx="3017520" cy="724535"/>
          <wp:effectExtent l="0" t="0" r="5080" b="0"/>
          <wp:wrapTight wrapText="bothSides">
            <wp:wrapPolygon edited="0">
              <wp:start x="0" y="0"/>
              <wp:lineTo x="0" y="21202"/>
              <wp:lineTo x="21545" y="21202"/>
              <wp:lineTo x="21545" y="0"/>
              <wp:lineTo x="0" y="0"/>
            </wp:wrapPolygon>
          </wp:wrapTight>
          <wp:docPr id="11519308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930817" name="Picture 1151930817"/>
                  <pic:cNvPicPr/>
                </pic:nvPicPr>
                <pic:blipFill>
                  <a:blip r:embed="rId1">
                    <a:extLst>
                      <a:ext uri="{28A0092B-C50C-407E-A947-70E740481C1C}">
                        <a14:useLocalDpi xmlns:a14="http://schemas.microsoft.com/office/drawing/2010/main" val="0"/>
                      </a:ext>
                    </a:extLst>
                  </a:blip>
                  <a:stretch>
                    <a:fillRect/>
                  </a:stretch>
                </pic:blipFill>
                <pic:spPr>
                  <a:xfrm>
                    <a:off x="0" y="0"/>
                    <a:ext cx="3017520" cy="7245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42198"/>
    <w:multiLevelType w:val="multilevel"/>
    <w:tmpl w:val="F0A0D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BE37FF"/>
    <w:multiLevelType w:val="multilevel"/>
    <w:tmpl w:val="CE644A70"/>
    <w:lvl w:ilvl="0">
      <w:start w:val="1"/>
      <w:numFmt w:val="bullet"/>
      <w:lvlText w:val="-"/>
      <w:lvlJc w:val="left"/>
      <w:pPr>
        <w:ind w:left="720" w:hanging="360"/>
      </w:pPr>
      <w:rPr>
        <w:rFonts w:ascii="Calibri" w:eastAsia="Calibri" w:hAnsi="Calibri" w:cs="Calibri"/>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22525232"/>
    <w:multiLevelType w:val="multilevel"/>
    <w:tmpl w:val="03148B0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330E66D1"/>
    <w:multiLevelType w:val="multilevel"/>
    <w:tmpl w:val="5DBC6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776B0F"/>
    <w:multiLevelType w:val="multilevel"/>
    <w:tmpl w:val="D7740F0E"/>
    <w:lvl w:ilvl="0">
      <w:start w:val="1"/>
      <w:numFmt w:val="decimal"/>
      <w:lvlText w:val="%1."/>
      <w:lvlJc w:val="left"/>
      <w:pPr>
        <w:ind w:left="0" w:firstLine="0"/>
      </w:pPr>
      <w:rPr>
        <w:rFonts w:ascii="Times New Roman" w:eastAsia="Times New Roman" w:hAnsi="Times New Roman" w:cs="Times New Roman"/>
        <w:b/>
        <w:i w:val="0"/>
        <w:sz w:val="22"/>
        <w:szCs w:val="22"/>
        <w:vertAlign w:val="baseline"/>
      </w:rPr>
    </w:lvl>
    <w:lvl w:ilvl="1">
      <w:start w:val="1"/>
      <w:numFmt w:val="lowerLetter"/>
      <w:lvlText w:val="%2."/>
      <w:lvlJc w:val="left"/>
      <w:pPr>
        <w:ind w:left="-5640" w:hanging="360"/>
      </w:pPr>
      <w:rPr>
        <w:vertAlign w:val="baseline"/>
      </w:rPr>
    </w:lvl>
    <w:lvl w:ilvl="2">
      <w:start w:val="1"/>
      <w:numFmt w:val="lowerRoman"/>
      <w:lvlText w:val="%3."/>
      <w:lvlJc w:val="right"/>
      <w:pPr>
        <w:ind w:left="-4920" w:hanging="180"/>
      </w:pPr>
      <w:rPr>
        <w:vertAlign w:val="baseline"/>
      </w:rPr>
    </w:lvl>
    <w:lvl w:ilvl="3">
      <w:start w:val="1"/>
      <w:numFmt w:val="decimal"/>
      <w:lvlText w:val="%4."/>
      <w:lvlJc w:val="left"/>
      <w:pPr>
        <w:ind w:left="-4200" w:hanging="360"/>
      </w:pPr>
      <w:rPr>
        <w:vertAlign w:val="baseline"/>
      </w:rPr>
    </w:lvl>
    <w:lvl w:ilvl="4">
      <w:start w:val="1"/>
      <w:numFmt w:val="lowerLetter"/>
      <w:lvlText w:val="%5."/>
      <w:lvlJc w:val="left"/>
      <w:pPr>
        <w:ind w:left="-3480" w:hanging="360"/>
      </w:pPr>
      <w:rPr>
        <w:vertAlign w:val="baseline"/>
      </w:rPr>
    </w:lvl>
    <w:lvl w:ilvl="5">
      <w:start w:val="1"/>
      <w:numFmt w:val="lowerRoman"/>
      <w:lvlText w:val="%6."/>
      <w:lvlJc w:val="right"/>
      <w:pPr>
        <w:ind w:left="-2760" w:hanging="180"/>
      </w:pPr>
      <w:rPr>
        <w:vertAlign w:val="baseline"/>
      </w:rPr>
    </w:lvl>
    <w:lvl w:ilvl="6">
      <w:start w:val="1"/>
      <w:numFmt w:val="decimal"/>
      <w:lvlText w:val="%7."/>
      <w:lvlJc w:val="left"/>
      <w:pPr>
        <w:ind w:left="-2040" w:hanging="360"/>
      </w:pPr>
      <w:rPr>
        <w:vertAlign w:val="baseline"/>
      </w:rPr>
    </w:lvl>
    <w:lvl w:ilvl="7">
      <w:start w:val="1"/>
      <w:numFmt w:val="lowerLetter"/>
      <w:lvlText w:val="%8."/>
      <w:lvlJc w:val="left"/>
      <w:pPr>
        <w:ind w:left="-1320" w:hanging="360"/>
      </w:pPr>
      <w:rPr>
        <w:vertAlign w:val="baseline"/>
      </w:rPr>
    </w:lvl>
    <w:lvl w:ilvl="8">
      <w:start w:val="1"/>
      <w:numFmt w:val="lowerRoman"/>
      <w:lvlText w:val="%9."/>
      <w:lvlJc w:val="right"/>
      <w:pPr>
        <w:ind w:left="-600" w:hanging="180"/>
      </w:pPr>
      <w:rPr>
        <w:vertAlign w:val="baseline"/>
      </w:rPr>
    </w:lvl>
  </w:abstractNum>
  <w:abstractNum w:abstractNumId="5" w15:restartNumberingAfterBreak="0">
    <w:nsid w:val="58C83BA0"/>
    <w:multiLevelType w:val="multilevel"/>
    <w:tmpl w:val="D7740F0E"/>
    <w:lvl w:ilvl="0">
      <w:start w:val="1"/>
      <w:numFmt w:val="decimal"/>
      <w:lvlText w:val="%1."/>
      <w:lvlJc w:val="left"/>
      <w:pPr>
        <w:ind w:left="0" w:firstLine="0"/>
      </w:pPr>
      <w:rPr>
        <w:rFonts w:ascii="Times New Roman" w:eastAsia="Times New Roman" w:hAnsi="Times New Roman" w:cs="Times New Roman"/>
        <w:b/>
        <w:i w:val="0"/>
        <w:sz w:val="22"/>
        <w:szCs w:val="22"/>
        <w:vertAlign w:val="baseline"/>
      </w:rPr>
    </w:lvl>
    <w:lvl w:ilvl="1">
      <w:start w:val="1"/>
      <w:numFmt w:val="lowerLetter"/>
      <w:lvlText w:val="%2."/>
      <w:lvlJc w:val="left"/>
      <w:pPr>
        <w:ind w:left="-5640" w:hanging="360"/>
      </w:pPr>
      <w:rPr>
        <w:vertAlign w:val="baseline"/>
      </w:rPr>
    </w:lvl>
    <w:lvl w:ilvl="2">
      <w:start w:val="1"/>
      <w:numFmt w:val="lowerRoman"/>
      <w:lvlText w:val="%3."/>
      <w:lvlJc w:val="right"/>
      <w:pPr>
        <w:ind w:left="-4920" w:hanging="180"/>
      </w:pPr>
      <w:rPr>
        <w:vertAlign w:val="baseline"/>
      </w:rPr>
    </w:lvl>
    <w:lvl w:ilvl="3">
      <w:start w:val="1"/>
      <w:numFmt w:val="decimal"/>
      <w:lvlText w:val="%4."/>
      <w:lvlJc w:val="left"/>
      <w:pPr>
        <w:ind w:left="-4200" w:hanging="360"/>
      </w:pPr>
      <w:rPr>
        <w:vertAlign w:val="baseline"/>
      </w:rPr>
    </w:lvl>
    <w:lvl w:ilvl="4">
      <w:start w:val="1"/>
      <w:numFmt w:val="lowerLetter"/>
      <w:lvlText w:val="%5."/>
      <w:lvlJc w:val="left"/>
      <w:pPr>
        <w:ind w:left="-3480" w:hanging="360"/>
      </w:pPr>
      <w:rPr>
        <w:vertAlign w:val="baseline"/>
      </w:rPr>
    </w:lvl>
    <w:lvl w:ilvl="5">
      <w:start w:val="1"/>
      <w:numFmt w:val="lowerRoman"/>
      <w:lvlText w:val="%6."/>
      <w:lvlJc w:val="right"/>
      <w:pPr>
        <w:ind w:left="-2760" w:hanging="180"/>
      </w:pPr>
      <w:rPr>
        <w:vertAlign w:val="baseline"/>
      </w:rPr>
    </w:lvl>
    <w:lvl w:ilvl="6">
      <w:start w:val="1"/>
      <w:numFmt w:val="decimal"/>
      <w:lvlText w:val="%7."/>
      <w:lvlJc w:val="left"/>
      <w:pPr>
        <w:ind w:left="-2040" w:hanging="360"/>
      </w:pPr>
      <w:rPr>
        <w:vertAlign w:val="baseline"/>
      </w:rPr>
    </w:lvl>
    <w:lvl w:ilvl="7">
      <w:start w:val="1"/>
      <w:numFmt w:val="lowerLetter"/>
      <w:lvlText w:val="%8."/>
      <w:lvlJc w:val="left"/>
      <w:pPr>
        <w:ind w:left="-1320" w:hanging="360"/>
      </w:pPr>
      <w:rPr>
        <w:vertAlign w:val="baseline"/>
      </w:rPr>
    </w:lvl>
    <w:lvl w:ilvl="8">
      <w:start w:val="1"/>
      <w:numFmt w:val="lowerRoman"/>
      <w:lvlText w:val="%9."/>
      <w:lvlJc w:val="right"/>
      <w:pPr>
        <w:ind w:left="-600" w:hanging="180"/>
      </w:pPr>
      <w:rPr>
        <w:vertAlign w:val="baseline"/>
      </w:rPr>
    </w:lvl>
  </w:abstractNum>
  <w:abstractNum w:abstractNumId="6" w15:restartNumberingAfterBreak="0">
    <w:nsid w:val="59363708"/>
    <w:multiLevelType w:val="multilevel"/>
    <w:tmpl w:val="D54EC64A"/>
    <w:lvl w:ilvl="0">
      <w:start w:val="1"/>
      <w:numFmt w:val="decimal"/>
      <w:lvlText w:val="%1."/>
      <w:lvlJc w:val="left"/>
      <w:pPr>
        <w:ind w:left="644" w:hanging="359"/>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63F572C2"/>
    <w:multiLevelType w:val="multilevel"/>
    <w:tmpl w:val="A86A5C96"/>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76DD40E8"/>
    <w:multiLevelType w:val="multilevel"/>
    <w:tmpl w:val="DECA649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b/>
        <w:sz w:val="22"/>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044B6B"/>
    <w:multiLevelType w:val="multilevel"/>
    <w:tmpl w:val="07F0E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3927955">
    <w:abstractNumId w:val="2"/>
  </w:num>
  <w:num w:numId="2" w16cid:durableId="851333762">
    <w:abstractNumId w:val="6"/>
  </w:num>
  <w:num w:numId="3" w16cid:durableId="1095514623">
    <w:abstractNumId w:val="4"/>
  </w:num>
  <w:num w:numId="4" w16cid:durableId="1094280614">
    <w:abstractNumId w:val="7"/>
  </w:num>
  <w:num w:numId="5" w16cid:durableId="2054303466">
    <w:abstractNumId w:val="1"/>
  </w:num>
  <w:num w:numId="6" w16cid:durableId="2136243659">
    <w:abstractNumId w:val="9"/>
  </w:num>
  <w:num w:numId="7" w16cid:durableId="138806266">
    <w:abstractNumId w:val="8"/>
  </w:num>
  <w:num w:numId="8" w16cid:durableId="586039096">
    <w:abstractNumId w:val="3"/>
  </w:num>
  <w:num w:numId="9" w16cid:durableId="816847040">
    <w:abstractNumId w:val="0"/>
  </w:num>
  <w:num w:numId="10" w16cid:durableId="8344974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0A9"/>
    <w:rsid w:val="00022A78"/>
    <w:rsid w:val="00075EB3"/>
    <w:rsid w:val="001066AA"/>
    <w:rsid w:val="001112E9"/>
    <w:rsid w:val="00133C91"/>
    <w:rsid w:val="0014659C"/>
    <w:rsid w:val="00152A6E"/>
    <w:rsid w:val="00157D47"/>
    <w:rsid w:val="00165899"/>
    <w:rsid w:val="001878E6"/>
    <w:rsid w:val="00272112"/>
    <w:rsid w:val="002C0AC4"/>
    <w:rsid w:val="002E349E"/>
    <w:rsid w:val="00371F95"/>
    <w:rsid w:val="0039482A"/>
    <w:rsid w:val="00466BE5"/>
    <w:rsid w:val="00466EF5"/>
    <w:rsid w:val="00470849"/>
    <w:rsid w:val="004800E0"/>
    <w:rsid w:val="004C39D9"/>
    <w:rsid w:val="004D2D5B"/>
    <w:rsid w:val="004E5707"/>
    <w:rsid w:val="00503900"/>
    <w:rsid w:val="005164A9"/>
    <w:rsid w:val="00517B20"/>
    <w:rsid w:val="005434FB"/>
    <w:rsid w:val="005B5210"/>
    <w:rsid w:val="005C5330"/>
    <w:rsid w:val="005E6657"/>
    <w:rsid w:val="00600097"/>
    <w:rsid w:val="006211ED"/>
    <w:rsid w:val="00676173"/>
    <w:rsid w:val="007560A9"/>
    <w:rsid w:val="0077747B"/>
    <w:rsid w:val="007A1D38"/>
    <w:rsid w:val="007C0D1C"/>
    <w:rsid w:val="00826305"/>
    <w:rsid w:val="00844BF7"/>
    <w:rsid w:val="00890A58"/>
    <w:rsid w:val="008E717E"/>
    <w:rsid w:val="00931F91"/>
    <w:rsid w:val="00934A9C"/>
    <w:rsid w:val="009F288C"/>
    <w:rsid w:val="00A31564"/>
    <w:rsid w:val="00A43116"/>
    <w:rsid w:val="00AD735D"/>
    <w:rsid w:val="00B76AC2"/>
    <w:rsid w:val="00BB1933"/>
    <w:rsid w:val="00C01925"/>
    <w:rsid w:val="00C12EAB"/>
    <w:rsid w:val="00C82DDE"/>
    <w:rsid w:val="00CD0DB2"/>
    <w:rsid w:val="00DB2A8D"/>
    <w:rsid w:val="00E0506E"/>
    <w:rsid w:val="00E32C3E"/>
    <w:rsid w:val="00E40053"/>
    <w:rsid w:val="00E47615"/>
    <w:rsid w:val="00E519D2"/>
    <w:rsid w:val="00EA5800"/>
    <w:rsid w:val="00EC0FAC"/>
    <w:rsid w:val="00EC66A4"/>
    <w:rsid w:val="00EC7004"/>
    <w:rsid w:val="00ED6095"/>
    <w:rsid w:val="00F3048C"/>
    <w:rsid w:val="00F40CDE"/>
    <w:rsid w:val="00F53C00"/>
    <w:rsid w:val="00F914C9"/>
    <w:rsid w:val="00FB6A05"/>
    <w:rsid w:val="00FD4626"/>
    <w:rsid w:val="00FE0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5AD85"/>
  <w15:docId w15:val="{CD2B8E89-2C00-4683-B852-AA705D7A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C39D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39D9"/>
    <w:rPr>
      <w:rFonts w:ascii="Segoe UI" w:hAnsi="Segoe UI" w:cs="Segoe UI"/>
      <w:sz w:val="18"/>
      <w:szCs w:val="18"/>
    </w:rPr>
  </w:style>
  <w:style w:type="paragraph" w:styleId="Header">
    <w:name w:val="header"/>
    <w:basedOn w:val="Normal"/>
    <w:link w:val="HeaderChar"/>
    <w:uiPriority w:val="99"/>
    <w:unhideWhenUsed/>
    <w:rsid w:val="004C39D9"/>
    <w:pPr>
      <w:tabs>
        <w:tab w:val="center" w:pos="4703"/>
        <w:tab w:val="right" w:pos="9406"/>
      </w:tabs>
      <w:spacing w:before="0" w:after="0"/>
    </w:pPr>
  </w:style>
  <w:style w:type="character" w:customStyle="1" w:styleId="HeaderChar">
    <w:name w:val="Header Char"/>
    <w:basedOn w:val="DefaultParagraphFont"/>
    <w:link w:val="Header"/>
    <w:uiPriority w:val="99"/>
    <w:rsid w:val="004C39D9"/>
  </w:style>
  <w:style w:type="paragraph" w:styleId="Footer">
    <w:name w:val="footer"/>
    <w:basedOn w:val="Normal"/>
    <w:link w:val="FooterChar"/>
    <w:uiPriority w:val="99"/>
    <w:unhideWhenUsed/>
    <w:rsid w:val="004C39D9"/>
    <w:pPr>
      <w:tabs>
        <w:tab w:val="center" w:pos="4703"/>
        <w:tab w:val="right" w:pos="9406"/>
      </w:tabs>
      <w:spacing w:before="0" w:after="0"/>
    </w:pPr>
  </w:style>
  <w:style w:type="character" w:customStyle="1" w:styleId="FooterChar">
    <w:name w:val="Footer Char"/>
    <w:basedOn w:val="DefaultParagraphFont"/>
    <w:link w:val="Footer"/>
    <w:uiPriority w:val="99"/>
    <w:rsid w:val="004C39D9"/>
  </w:style>
  <w:style w:type="paragraph" w:styleId="ListParagraph">
    <w:name w:val="List Paragraph"/>
    <w:basedOn w:val="Normal"/>
    <w:uiPriority w:val="34"/>
    <w:qFormat/>
    <w:rsid w:val="00371F95"/>
    <w:pPr>
      <w:ind w:left="720"/>
      <w:contextualSpacing/>
    </w:pPr>
  </w:style>
  <w:style w:type="paragraph" w:styleId="BodyText">
    <w:name w:val="Body Text"/>
    <w:basedOn w:val="Normal"/>
    <w:link w:val="BodyTextChar"/>
    <w:rsid w:val="0014659C"/>
    <w:pPr>
      <w:widowControl/>
      <w:spacing w:before="0" w:after="0"/>
    </w:pPr>
    <w:rPr>
      <w:szCs w:val="20"/>
      <w:lang w:eastAsia="en-GB"/>
    </w:rPr>
  </w:style>
  <w:style w:type="character" w:customStyle="1" w:styleId="BodyTextChar">
    <w:name w:val="Body Text Char"/>
    <w:basedOn w:val="DefaultParagraphFont"/>
    <w:link w:val="BodyText"/>
    <w:rsid w:val="0014659C"/>
    <w:rPr>
      <w:szCs w:val="20"/>
      <w:lang w:eastAsia="en-GB"/>
    </w:rPr>
  </w:style>
  <w:style w:type="character" w:styleId="Hyperlink">
    <w:name w:val="Hyperlink"/>
    <w:rsid w:val="0014659C"/>
    <w:rPr>
      <w:color w:val="0000FF"/>
      <w:u w:val="single"/>
    </w:rPr>
  </w:style>
  <w:style w:type="character" w:styleId="Strong">
    <w:name w:val="Strong"/>
    <w:basedOn w:val="DefaultParagraphFont"/>
    <w:uiPriority w:val="22"/>
    <w:qFormat/>
    <w:rsid w:val="00F3048C"/>
    <w:rPr>
      <w:b/>
      <w:bCs/>
    </w:rPr>
  </w:style>
  <w:style w:type="character" w:customStyle="1" w:styleId="apple-converted-space">
    <w:name w:val="apple-converted-space"/>
    <w:basedOn w:val="DefaultParagraphFont"/>
    <w:rsid w:val="00F3048C"/>
  </w:style>
  <w:style w:type="paragraph" w:styleId="NormalWeb">
    <w:name w:val="Normal (Web)"/>
    <w:basedOn w:val="Normal"/>
    <w:uiPriority w:val="99"/>
    <w:unhideWhenUsed/>
    <w:rsid w:val="00F3048C"/>
    <w:pPr>
      <w:widowControl/>
      <w:spacing w:beforeAutospacing="1" w:afterAutospacing="1"/>
    </w:pPr>
  </w:style>
  <w:style w:type="character" w:styleId="Emphasis">
    <w:name w:val="Emphasis"/>
    <w:basedOn w:val="DefaultParagraphFont"/>
    <w:qFormat/>
    <w:rsid w:val="00F3048C"/>
    <w:rPr>
      <w:i/>
      <w:iCs/>
    </w:rPr>
  </w:style>
  <w:style w:type="paragraph" w:customStyle="1" w:styleId="Blockquote">
    <w:name w:val="Blockquote"/>
    <w:basedOn w:val="Normal"/>
    <w:rsid w:val="00EC0FAC"/>
    <w:pPr>
      <w:ind w:left="360" w:right="360"/>
    </w:pPr>
    <w:rPr>
      <w:snapToGrid w:val="0"/>
      <w:szCs w:val="20"/>
      <w:lang w:val="en-US"/>
    </w:rPr>
  </w:style>
  <w:style w:type="character" w:styleId="FollowedHyperlink">
    <w:name w:val="FollowedHyperlink"/>
    <w:basedOn w:val="DefaultParagraphFont"/>
    <w:uiPriority w:val="99"/>
    <w:semiHidden/>
    <w:unhideWhenUsed/>
    <w:rsid w:val="00EC0F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01842">
      <w:bodyDiv w:val="1"/>
      <w:marLeft w:val="0"/>
      <w:marRight w:val="0"/>
      <w:marTop w:val="0"/>
      <w:marBottom w:val="0"/>
      <w:divBdr>
        <w:top w:val="none" w:sz="0" w:space="0" w:color="auto"/>
        <w:left w:val="none" w:sz="0" w:space="0" w:color="auto"/>
        <w:bottom w:val="none" w:sz="0" w:space="0" w:color="auto"/>
        <w:right w:val="none" w:sz="0" w:space="0" w:color="auto"/>
      </w:divBdr>
    </w:div>
    <w:div w:id="564800474">
      <w:bodyDiv w:val="1"/>
      <w:marLeft w:val="0"/>
      <w:marRight w:val="0"/>
      <w:marTop w:val="0"/>
      <w:marBottom w:val="0"/>
      <w:divBdr>
        <w:top w:val="none" w:sz="0" w:space="0" w:color="auto"/>
        <w:left w:val="none" w:sz="0" w:space="0" w:color="auto"/>
        <w:bottom w:val="none" w:sz="0" w:space="0" w:color="auto"/>
        <w:right w:val="none" w:sz="0" w:space="0" w:color="auto"/>
      </w:divBdr>
    </w:div>
    <w:div w:id="574053564">
      <w:bodyDiv w:val="1"/>
      <w:marLeft w:val="0"/>
      <w:marRight w:val="0"/>
      <w:marTop w:val="0"/>
      <w:marBottom w:val="0"/>
      <w:divBdr>
        <w:top w:val="none" w:sz="0" w:space="0" w:color="auto"/>
        <w:left w:val="none" w:sz="0" w:space="0" w:color="auto"/>
        <w:bottom w:val="none" w:sz="0" w:space="0" w:color="auto"/>
        <w:right w:val="none" w:sz="0" w:space="0" w:color="auto"/>
      </w:divBdr>
    </w:div>
    <w:div w:id="6761578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1376</Words>
  <Characters>7844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PROJEKTA</cp:lastModifiedBy>
  <cp:revision>6</cp:revision>
  <dcterms:created xsi:type="dcterms:W3CDTF">2025-11-20T11:36:00Z</dcterms:created>
  <dcterms:modified xsi:type="dcterms:W3CDTF">2025-11-20T13:34:00Z</dcterms:modified>
</cp:coreProperties>
</file>